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029DF" w14:textId="0A937190" w:rsidR="007631F0" w:rsidRDefault="007631F0" w:rsidP="007631F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BE240A">
        <w:rPr>
          <w:rFonts w:cs="Arial"/>
          <w:b/>
          <w:sz w:val="24"/>
          <w:szCs w:val="24"/>
        </w:rPr>
        <w:t>4174</w:t>
      </w:r>
    </w:p>
    <w:p w14:paraId="52231DF0" w14:textId="77777777" w:rsidR="007631F0" w:rsidRPr="00455CF9" w:rsidRDefault="007631F0" w:rsidP="007631F0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jc w:val="both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Ljubljana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Slovenia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26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August 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30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h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 August 2019</w:t>
      </w:r>
    </w:p>
    <w:p w14:paraId="1CA43452" w14:textId="77777777" w:rsidR="00C65E9D" w:rsidRPr="007631F0" w:rsidRDefault="00C65E9D" w:rsidP="00C65E9D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6277DDF7" w14:textId="464D6B89" w:rsidR="00C65E9D" w:rsidRPr="00455CF9" w:rsidRDefault="00C65E9D" w:rsidP="00C65E9D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Agenda Item: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2</w:t>
      </w:r>
      <w:r w:rsidR="00A12900">
        <w:rPr>
          <w:rFonts w:ascii="Arial" w:hAnsi="Arial" w:cs="Arial"/>
          <w:szCs w:val="24"/>
        </w:rPr>
        <w:t>0.2.</w:t>
      </w:r>
      <w:r w:rsidR="00D01309">
        <w:rPr>
          <w:rFonts w:ascii="Arial" w:hAnsi="Arial" w:cs="Arial"/>
          <w:szCs w:val="24"/>
        </w:rPr>
        <w:t>1</w:t>
      </w:r>
    </w:p>
    <w:p w14:paraId="2B8B4511" w14:textId="77777777" w:rsidR="00C65E9D" w:rsidRPr="00455CF9" w:rsidRDefault="00C65E9D" w:rsidP="00C65E9D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18E56C14" w14:textId="10C50F72" w:rsidR="00C65E9D" w:rsidRPr="002F5D52" w:rsidRDefault="00C65E9D" w:rsidP="00C65E9D">
      <w:pPr>
        <w:pStyle w:val="3GPPHeaderArial"/>
        <w:tabs>
          <w:tab w:val="left" w:pos="1701"/>
        </w:tabs>
        <w:ind w:left="1701" w:hanging="1701"/>
        <w:rPr>
          <w:sz w:val="24"/>
          <w:lang w:val="en-GB" w:eastAsia="zh-TW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FE51C3" w:rsidRPr="00FE51C3">
        <w:rPr>
          <w:b/>
          <w:sz w:val="24"/>
          <w:lang w:val="en-GB"/>
        </w:rPr>
        <w:t>NR V2X Service Authorization in NG-RAN</w:t>
      </w:r>
    </w:p>
    <w:p w14:paraId="346FF902" w14:textId="77777777" w:rsidR="00C65E9D" w:rsidRPr="00455CF9" w:rsidRDefault="00C65E9D" w:rsidP="00C65E9D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6B08EFA" w14:textId="26EC6FAC" w:rsidR="00C65E9D" w:rsidRPr="00455CF9" w:rsidRDefault="00C65E9D" w:rsidP="00C65E9D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Document for:</w:t>
      </w:r>
      <w:r w:rsidRPr="00455CF9">
        <w:rPr>
          <w:rFonts w:ascii="Arial" w:hAnsi="Arial" w:cs="Arial"/>
          <w:szCs w:val="24"/>
        </w:rPr>
        <w:tab/>
      </w:r>
      <w:r w:rsidR="00FE51C3">
        <w:rPr>
          <w:rFonts w:ascii="Arial" w:hAnsi="Arial" w:cs="Arial"/>
          <w:szCs w:val="24"/>
        </w:rPr>
        <w:t>Approval</w:t>
      </w:r>
    </w:p>
    <w:p w14:paraId="559F1A04" w14:textId="2C95D237" w:rsidR="001B36C6" w:rsidRPr="004D4985" w:rsidRDefault="00C65E9D" w:rsidP="004D4985">
      <w:pPr>
        <w:pStyle w:val="Heading1"/>
        <w:overflowPunct w:val="0"/>
        <w:autoSpaceDE w:val="0"/>
        <w:autoSpaceDN w:val="0"/>
        <w:adjustRightInd w:val="0"/>
        <w:spacing w:before="0"/>
        <w:rPr>
          <w:rStyle w:val="IvDbodytextChar"/>
          <w:rFonts w:eastAsia="PMingLiU" w:cs="Arial"/>
          <w:spacing w:val="0"/>
          <w:sz w:val="36"/>
          <w:lang w:val="en-GB"/>
        </w:rPr>
      </w:pPr>
      <w:r w:rsidRPr="00455CF9">
        <w:rPr>
          <w:rFonts w:eastAsia="PMingLiU" w:cs="Arial"/>
        </w:rPr>
        <w:t>Introduction</w:t>
      </w:r>
    </w:p>
    <w:p w14:paraId="4DBA61E8" w14:textId="5EE21A3E" w:rsidR="001B36C6" w:rsidRPr="0073304B" w:rsidRDefault="00FE51C3" w:rsidP="004C1939">
      <w:pPr>
        <w:jc w:val="both"/>
        <w:rPr>
          <w:rStyle w:val="IvDbodytextChar"/>
          <w:rFonts w:asciiTheme="minorHAnsi" w:eastAsiaTheme="minorHAnsi" w:hAnsiTheme="minorHAnsi" w:cstheme="minorHAnsi"/>
          <w:i/>
          <w:lang w:val="en-GB"/>
        </w:rPr>
      </w:pPr>
      <w:r>
        <w:rPr>
          <w:rFonts w:cs="Times New Roman"/>
          <w:lang w:val="en-GB" w:eastAsia="zh-CN"/>
        </w:rPr>
        <w:t>This document presents</w:t>
      </w:r>
      <w:r w:rsidR="00DA4865">
        <w:rPr>
          <w:rFonts w:cs="Times New Roman"/>
          <w:lang w:val="en-GB" w:eastAsia="zh-CN"/>
        </w:rPr>
        <w:t xml:space="preserve"> the</w:t>
      </w:r>
      <w:r>
        <w:rPr>
          <w:rFonts w:cs="Times New Roman"/>
          <w:lang w:val="en-GB" w:eastAsia="zh-CN"/>
        </w:rPr>
        <w:t xml:space="preserve"> </w:t>
      </w:r>
      <w:r w:rsidR="00BD6D5F">
        <w:rPr>
          <w:rFonts w:cs="Times New Roman"/>
          <w:lang w:val="en-GB" w:eastAsia="zh-CN"/>
        </w:rPr>
        <w:t xml:space="preserve">proposals as per </w:t>
      </w:r>
      <w:r>
        <w:rPr>
          <w:rFonts w:cs="Times New Roman"/>
          <w:lang w:val="en-GB" w:eastAsia="zh-CN"/>
        </w:rPr>
        <w:t>the</w:t>
      </w:r>
      <w:r w:rsidR="00BD6D5F">
        <w:rPr>
          <w:rFonts w:cs="Times New Roman"/>
          <w:lang w:val="en-GB" w:eastAsia="zh-CN"/>
        </w:rPr>
        <w:t xml:space="preserve"> NR V2X SI agreements regarding th</w:t>
      </w:r>
      <w:r w:rsidR="00DA4865">
        <w:rPr>
          <w:rFonts w:cs="Times New Roman"/>
          <w:lang w:val="en-GB" w:eastAsia="zh-CN"/>
        </w:rPr>
        <w:t>e</w:t>
      </w:r>
      <w:r>
        <w:rPr>
          <w:rFonts w:cs="Times New Roman"/>
          <w:lang w:val="en-GB" w:eastAsia="zh-CN"/>
        </w:rPr>
        <w:t xml:space="preserve"> NR V2X Service </w:t>
      </w:r>
      <w:r w:rsidR="00BD6D5F">
        <w:rPr>
          <w:rFonts w:cs="Times New Roman"/>
          <w:lang w:val="en-GB" w:eastAsia="zh-CN"/>
        </w:rPr>
        <w:t>A</w:t>
      </w:r>
      <w:r>
        <w:rPr>
          <w:rFonts w:cs="Times New Roman"/>
          <w:lang w:val="en-GB" w:eastAsia="zh-CN"/>
        </w:rPr>
        <w:t xml:space="preserve">uthorization and </w:t>
      </w:r>
      <w:r w:rsidR="00DA4865">
        <w:rPr>
          <w:rFonts w:cs="Times New Roman"/>
          <w:lang w:val="en-GB" w:eastAsia="zh-CN"/>
        </w:rPr>
        <w:t xml:space="preserve">the </w:t>
      </w:r>
      <w:proofErr w:type="spellStart"/>
      <w:r>
        <w:rPr>
          <w:rFonts w:cs="Times New Roman"/>
          <w:lang w:val="en-GB" w:eastAsia="zh-CN"/>
        </w:rPr>
        <w:t>Sidelink</w:t>
      </w:r>
      <w:proofErr w:type="spellEnd"/>
      <w:r>
        <w:rPr>
          <w:rFonts w:cs="Times New Roman"/>
          <w:lang w:val="en-GB" w:eastAsia="zh-CN"/>
        </w:rPr>
        <w:t xml:space="preserve"> Aggregated Maximum Bit Rate</w:t>
      </w:r>
      <w:r w:rsidR="00DA4865">
        <w:rPr>
          <w:rFonts w:cs="Times New Roman"/>
          <w:lang w:val="en-GB" w:eastAsia="zh-CN"/>
        </w:rPr>
        <w:t>. We propose in the following to</w:t>
      </w:r>
      <w:r w:rsidR="00900CB6">
        <w:rPr>
          <w:rFonts w:cs="Times New Roman"/>
          <w:lang w:val="en-GB" w:eastAsia="zh-CN"/>
        </w:rPr>
        <w:t xml:space="preserve"> include these information </w:t>
      </w:r>
      <w:r w:rsidR="00DA4865">
        <w:rPr>
          <w:rFonts w:cs="Times New Roman"/>
          <w:lang w:val="en-GB" w:eastAsia="zh-CN"/>
        </w:rPr>
        <w:t xml:space="preserve">elements </w:t>
      </w:r>
      <w:r w:rsidR="00900CB6">
        <w:rPr>
          <w:rFonts w:cs="Times New Roman"/>
          <w:lang w:val="en-GB" w:eastAsia="zh-CN"/>
        </w:rPr>
        <w:t xml:space="preserve">in the corresponding NGAP and </w:t>
      </w:r>
      <w:proofErr w:type="spellStart"/>
      <w:r w:rsidR="00900CB6">
        <w:rPr>
          <w:rFonts w:cs="Times New Roman"/>
          <w:lang w:val="en-GB" w:eastAsia="zh-CN"/>
        </w:rPr>
        <w:t>XnAP</w:t>
      </w:r>
      <w:proofErr w:type="spellEnd"/>
      <w:r w:rsidR="00900CB6">
        <w:rPr>
          <w:rFonts w:cs="Times New Roman"/>
          <w:lang w:val="en-GB" w:eastAsia="zh-CN"/>
        </w:rPr>
        <w:t xml:space="preserve"> </w:t>
      </w:r>
      <w:r w:rsidR="00DA4865">
        <w:rPr>
          <w:rFonts w:cs="Times New Roman"/>
          <w:lang w:val="en-GB" w:eastAsia="zh-CN"/>
        </w:rPr>
        <w:t>procedures</w:t>
      </w:r>
      <w:r w:rsidR="00900CB6">
        <w:rPr>
          <w:rFonts w:cs="Times New Roman"/>
          <w:lang w:val="en-GB" w:eastAsia="zh-CN"/>
        </w:rPr>
        <w:t>.</w:t>
      </w:r>
    </w:p>
    <w:p w14:paraId="58B44D43" w14:textId="77777777" w:rsidR="0044301B" w:rsidRDefault="0044301B" w:rsidP="00B64DCC">
      <w:pPr>
        <w:pStyle w:val="IvDInstructiontext"/>
        <w:rPr>
          <w:rStyle w:val="IvDbodytextChar"/>
          <w:rFonts w:asciiTheme="minorHAnsi" w:hAnsiTheme="minorHAnsi" w:cstheme="minorHAnsi"/>
          <w:i w:val="0"/>
          <w:color w:val="auto"/>
        </w:rPr>
      </w:pPr>
    </w:p>
    <w:p w14:paraId="273AC8D6" w14:textId="5405EF88" w:rsidR="00DD5199" w:rsidRDefault="005E6331" w:rsidP="00DD5199">
      <w:pPr>
        <w:pStyle w:val="Heading1"/>
        <w:tabs>
          <w:tab w:val="clear" w:pos="432"/>
        </w:tabs>
        <w:spacing w:line="360" w:lineRule="auto"/>
        <w:ind w:left="0" w:firstLine="0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167285BE" w14:textId="563499A1" w:rsidR="00D72642" w:rsidRPr="00AA336D" w:rsidRDefault="00751221" w:rsidP="00D72642">
      <w:pPr>
        <w:pStyle w:val="Heading2"/>
        <w:keepLines w:val="0"/>
        <w:tabs>
          <w:tab w:val="clear" w:pos="7506"/>
          <w:tab w:val="num" w:pos="576"/>
        </w:tabs>
        <w:ind w:left="578" w:hanging="578"/>
      </w:pPr>
      <w:r>
        <w:t>NR V2X Service Authorization</w:t>
      </w:r>
    </w:p>
    <w:p w14:paraId="52640C09" w14:textId="5F6A4579" w:rsidR="00F75A59" w:rsidRDefault="00AD739A" w:rsidP="00AD739A">
      <w:pPr>
        <w:rPr>
          <w:rStyle w:val="IvDbodytextChar"/>
          <w:rFonts w:asciiTheme="minorHAnsi" w:eastAsiaTheme="minorHAnsi" w:hAnsiTheme="minorHAnsi" w:cstheme="minorHAnsi"/>
          <w:sz w:val="22"/>
          <w:szCs w:val="22"/>
        </w:rPr>
      </w:pPr>
      <w:r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Following the conclusion of the NR V2X</w:t>
      </w:r>
      <w:r w:rsidR="00AA336D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SI</w:t>
      </w:r>
      <w:r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, it was captured i</w:t>
      </w:r>
      <w:r w:rsidR="007550AF"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n </w:t>
      </w:r>
      <w:r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TR 38.885</w:t>
      </w:r>
      <w:r w:rsidR="00AA336D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935970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[1] </w:t>
      </w:r>
      <w:r w:rsidR="00AA336D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the following agreement</w:t>
      </w:r>
      <w:r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:</w:t>
      </w:r>
    </w:p>
    <w:p w14:paraId="1393A79F" w14:textId="627BEA9E" w:rsidR="00AA336D" w:rsidRPr="00DF6C18" w:rsidRDefault="00AA336D" w:rsidP="00AA336D">
      <w:pPr>
        <w:ind w:left="1304"/>
        <w:rPr>
          <w:color w:val="00B050"/>
          <w:lang w:val="en-GB"/>
        </w:rPr>
      </w:pPr>
      <w:r w:rsidRPr="00DF6C18">
        <w:rPr>
          <w:color w:val="00B050"/>
          <w:lang w:val="en-GB"/>
        </w:rPr>
        <w:t xml:space="preserve">Following similar principles as in LTE, the V2X service authorization information will be conveyed by 5GC to the NG-RAN node over NG interface and provided by </w:t>
      </w:r>
      <w:proofErr w:type="spellStart"/>
      <w:r w:rsidRPr="00DF6C18">
        <w:rPr>
          <w:color w:val="00B050"/>
          <w:lang w:val="en-GB"/>
        </w:rPr>
        <w:t>Xn</w:t>
      </w:r>
      <w:proofErr w:type="spellEnd"/>
      <w:r w:rsidRPr="00DF6C18">
        <w:rPr>
          <w:color w:val="00B050"/>
          <w:lang w:val="en-GB"/>
        </w:rPr>
        <w:t xml:space="preserve"> between NG-RAN nodes during mobility events. The V2X service authorization information is PC5 RAT specific. The cross-RAT PC5 control authorization information (implicit or explicit) is also necessary.</w:t>
      </w:r>
    </w:p>
    <w:p w14:paraId="34AFB1AD" w14:textId="13DFA1B3" w:rsidR="00BD4A2B" w:rsidRPr="00BD4A2B" w:rsidRDefault="00BD4A2B" w:rsidP="00BD4A2B">
      <w:pPr>
        <w:rPr>
          <w:lang w:val="en-GB" w:eastAsia="zh-CN"/>
        </w:rPr>
      </w:pPr>
      <w:r w:rsidRPr="00BD4A2B">
        <w:rPr>
          <w:lang w:val="en-GB"/>
        </w:rPr>
        <w:t xml:space="preserve">Currently V2X is supported in </w:t>
      </w:r>
      <w:r>
        <w:rPr>
          <w:lang w:val="en-GB"/>
        </w:rPr>
        <w:t>LTE</w:t>
      </w:r>
      <w:r w:rsidRPr="00BD4A2B">
        <w:rPr>
          <w:lang w:val="en-GB"/>
        </w:rPr>
        <w:t xml:space="preserve"> through the </w:t>
      </w:r>
      <w:r w:rsidRPr="00BD4A2B">
        <w:rPr>
          <w:i/>
          <w:lang w:val="en-GB"/>
        </w:rPr>
        <w:t>V2X Authorized</w:t>
      </w:r>
      <w:r w:rsidRPr="00BD4A2B">
        <w:rPr>
          <w:lang w:val="en-GB"/>
        </w:rPr>
        <w:t xml:space="preserve">, </w:t>
      </w:r>
      <w:proofErr w:type="spellStart"/>
      <w:r w:rsidRPr="00BD4A2B">
        <w:rPr>
          <w:lang w:val="en-GB"/>
        </w:rPr>
        <w:t>signaled</w:t>
      </w:r>
      <w:proofErr w:type="spellEnd"/>
      <w:r w:rsidRPr="00BD4A2B">
        <w:rPr>
          <w:lang w:val="en-GB"/>
        </w:rPr>
        <w:t xml:space="preserve"> over S1 and X2 </w:t>
      </w:r>
      <w:r>
        <w:fldChar w:fldCharType="begin"/>
      </w:r>
      <w:r w:rsidRPr="00BD4A2B">
        <w:rPr>
          <w:lang w:val="en-GB"/>
        </w:rPr>
        <w:instrText xml:space="preserve"> REF _Ref525891804 \r \h </w:instrText>
      </w:r>
      <w:r>
        <w:fldChar w:fldCharType="separate"/>
      </w:r>
      <w:r w:rsidRPr="00BD4A2B">
        <w:rPr>
          <w:lang w:val="en-GB"/>
        </w:rPr>
        <w:t>[2]</w:t>
      </w:r>
      <w:r>
        <w:fldChar w:fldCharType="end"/>
      </w:r>
      <w:r>
        <w:fldChar w:fldCharType="begin"/>
      </w:r>
      <w:r w:rsidRPr="00BD4A2B">
        <w:rPr>
          <w:lang w:val="en-GB"/>
        </w:rPr>
        <w:instrText xml:space="preserve"> REF _Ref525891807 \r \h </w:instrText>
      </w:r>
      <w:r>
        <w:fldChar w:fldCharType="separate"/>
      </w:r>
      <w:r w:rsidRPr="00BD4A2B">
        <w:rPr>
          <w:lang w:val="en-GB"/>
        </w:rPr>
        <w:t>[3]</w:t>
      </w:r>
      <w:r>
        <w:fldChar w:fldCharType="end"/>
      </w:r>
      <w:r w:rsidRPr="00BD4A2B">
        <w:rPr>
          <w:lang w:val="en-GB"/>
        </w:rPr>
        <w:t>.</w:t>
      </w:r>
      <w:r w:rsidR="0071388D">
        <w:rPr>
          <w:lang w:val="en-GB"/>
        </w:rPr>
        <w:t xml:space="preserve"> I</w:t>
      </w:r>
      <w:r w:rsidR="00935970">
        <w:rPr>
          <w:lang w:val="en-GB"/>
        </w:rPr>
        <w:t>ts</w:t>
      </w:r>
      <w:r w:rsidRPr="00BD4A2B">
        <w:rPr>
          <w:lang w:val="en-GB"/>
        </w:rPr>
        <w:t xml:space="preserve"> structure is shown below</w:t>
      </w:r>
      <w:r w:rsidR="00AD3980">
        <w:rPr>
          <w:lang w:val="en-GB"/>
        </w:rPr>
        <w:t>: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BD4A2B" w:rsidRPr="00567372" w14:paraId="5425105F" w14:textId="77777777" w:rsidTr="001F2EBF">
        <w:tc>
          <w:tcPr>
            <w:tcW w:w="2011" w:type="dxa"/>
          </w:tcPr>
          <w:p w14:paraId="533FF9D6" w14:textId="77777777" w:rsidR="00BD4A2B" w:rsidRPr="00567372" w:rsidRDefault="00BD4A2B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5860653A" w14:textId="77777777" w:rsidR="00BD4A2B" w:rsidRPr="00567372" w:rsidRDefault="00BD4A2B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05183DC9" w14:textId="77777777" w:rsidR="00BD4A2B" w:rsidRPr="00567372" w:rsidRDefault="00BD4A2B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0E070816" w14:textId="77777777" w:rsidR="00BD4A2B" w:rsidRPr="00567372" w:rsidRDefault="00BD4A2B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3ECDF315" w14:textId="77777777" w:rsidR="00BD4A2B" w:rsidRPr="00567372" w:rsidRDefault="00BD4A2B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7DF34437" w14:textId="77777777" w:rsidR="00BD4A2B" w:rsidRPr="00567372" w:rsidRDefault="00BD4A2B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788CFF24" w14:textId="77777777" w:rsidR="00BD4A2B" w:rsidRPr="00567372" w:rsidRDefault="00BD4A2B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Assigned Criticality</w:t>
            </w:r>
          </w:p>
        </w:tc>
      </w:tr>
      <w:tr w:rsidR="00BD4A2B" w:rsidRPr="00567372" w14:paraId="31E3A28F" w14:textId="77777777" w:rsidTr="001F2EBF">
        <w:tc>
          <w:tcPr>
            <w:tcW w:w="2011" w:type="dxa"/>
          </w:tcPr>
          <w:p w14:paraId="2CF1F5F0" w14:textId="77777777" w:rsidR="00BD4A2B" w:rsidRPr="00567372" w:rsidRDefault="00BD4A2B" w:rsidP="001F2EBF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Vehicle UE</w:t>
            </w:r>
          </w:p>
        </w:tc>
        <w:tc>
          <w:tcPr>
            <w:tcW w:w="1134" w:type="dxa"/>
          </w:tcPr>
          <w:p w14:paraId="5974C177" w14:textId="77777777" w:rsidR="00BD4A2B" w:rsidRPr="00567372" w:rsidRDefault="00BD4A2B" w:rsidP="001F2EBF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</w:rPr>
              <w:t>O</w:t>
            </w:r>
          </w:p>
        </w:tc>
        <w:tc>
          <w:tcPr>
            <w:tcW w:w="851" w:type="dxa"/>
          </w:tcPr>
          <w:p w14:paraId="6F2EE4CB" w14:textId="77777777" w:rsidR="00BD4A2B" w:rsidRPr="00567372" w:rsidRDefault="00BD4A2B" w:rsidP="001F2EBF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750C3588" w14:textId="77777777" w:rsidR="00BD4A2B" w:rsidRPr="00567372" w:rsidRDefault="00BD4A2B" w:rsidP="001F2EBF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  <w:snapToGrid w:val="0"/>
              </w:rPr>
              <w:t>ENUMERATED (authorized, not authorized, ...)</w:t>
            </w:r>
          </w:p>
        </w:tc>
        <w:tc>
          <w:tcPr>
            <w:tcW w:w="2211" w:type="dxa"/>
          </w:tcPr>
          <w:p w14:paraId="706E90EC" w14:textId="77777777" w:rsidR="00BD4A2B" w:rsidRPr="00567372" w:rsidRDefault="00BD4A2B" w:rsidP="001F2EBF">
            <w:pPr>
              <w:pStyle w:val="TAL"/>
              <w:rPr>
                <w:rFonts w:cs="Arial"/>
                <w:snapToGrid w:val="0"/>
              </w:rPr>
            </w:pPr>
            <w:r w:rsidRPr="00567372">
              <w:rPr>
                <w:rFonts w:cs="Arial"/>
                <w:snapToGrid w:val="0"/>
              </w:rPr>
              <w:t xml:space="preserve">Indicates whether the UE is authorized as </w:t>
            </w:r>
            <w:r w:rsidRPr="00567372">
              <w:rPr>
                <w:rFonts w:cs="Arial"/>
                <w:lang w:eastAsia="ja-JP"/>
              </w:rPr>
              <w:t>Vehicle UE</w:t>
            </w:r>
          </w:p>
        </w:tc>
        <w:tc>
          <w:tcPr>
            <w:tcW w:w="1080" w:type="dxa"/>
          </w:tcPr>
          <w:p w14:paraId="5CBAAAF0" w14:textId="77777777" w:rsidR="00BD4A2B" w:rsidRPr="00567372" w:rsidRDefault="00BD4A2B" w:rsidP="001F2EBF">
            <w:pPr>
              <w:pStyle w:val="TAL"/>
              <w:jc w:val="center"/>
              <w:rPr>
                <w:rFonts w:cs="Arial"/>
                <w:snapToGrid w:val="0"/>
              </w:rPr>
            </w:pPr>
            <w:r w:rsidRPr="00567372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</w:tcPr>
          <w:p w14:paraId="003CA71D" w14:textId="77777777" w:rsidR="00BD4A2B" w:rsidRPr="00567372" w:rsidRDefault="00BD4A2B" w:rsidP="001F2EBF">
            <w:pPr>
              <w:pStyle w:val="TAL"/>
              <w:jc w:val="center"/>
              <w:rPr>
                <w:rFonts w:cs="Arial"/>
                <w:snapToGrid w:val="0"/>
              </w:rPr>
            </w:pPr>
            <w:r w:rsidRPr="00567372">
              <w:rPr>
                <w:rFonts w:cs="Arial"/>
                <w:snapToGrid w:val="0"/>
              </w:rPr>
              <w:t>-</w:t>
            </w:r>
          </w:p>
        </w:tc>
      </w:tr>
      <w:tr w:rsidR="00BD4A2B" w:rsidRPr="00567372" w14:paraId="42357429" w14:textId="77777777" w:rsidTr="001F2EBF">
        <w:tc>
          <w:tcPr>
            <w:tcW w:w="2011" w:type="dxa"/>
          </w:tcPr>
          <w:p w14:paraId="04E00313" w14:textId="77777777" w:rsidR="00BD4A2B" w:rsidRPr="00567372" w:rsidRDefault="00BD4A2B" w:rsidP="001F2EB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>Pedestrian UE</w:t>
            </w:r>
          </w:p>
        </w:tc>
        <w:tc>
          <w:tcPr>
            <w:tcW w:w="1134" w:type="dxa"/>
          </w:tcPr>
          <w:p w14:paraId="20E29777" w14:textId="77777777" w:rsidR="00BD4A2B" w:rsidRPr="00567372" w:rsidRDefault="00BD4A2B" w:rsidP="001F2EBF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</w:rPr>
              <w:t>O</w:t>
            </w:r>
          </w:p>
        </w:tc>
        <w:tc>
          <w:tcPr>
            <w:tcW w:w="851" w:type="dxa"/>
          </w:tcPr>
          <w:p w14:paraId="2FD98679" w14:textId="77777777" w:rsidR="00BD4A2B" w:rsidRPr="00567372" w:rsidRDefault="00BD4A2B" w:rsidP="001F2EBF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4708AC6B" w14:textId="77777777" w:rsidR="00BD4A2B" w:rsidRPr="00567372" w:rsidRDefault="00BD4A2B" w:rsidP="001F2EBF">
            <w:pPr>
              <w:pStyle w:val="TAL"/>
              <w:rPr>
                <w:rFonts w:cs="Arial"/>
                <w:snapToGrid w:val="0"/>
              </w:rPr>
            </w:pPr>
            <w:r w:rsidRPr="00567372">
              <w:rPr>
                <w:rFonts w:cs="Arial"/>
                <w:snapToGrid w:val="0"/>
              </w:rPr>
              <w:t>ENUMERATED (authorized, not authorized, ...)</w:t>
            </w:r>
          </w:p>
        </w:tc>
        <w:tc>
          <w:tcPr>
            <w:tcW w:w="2211" w:type="dxa"/>
          </w:tcPr>
          <w:p w14:paraId="32CB6442" w14:textId="77777777" w:rsidR="00BD4A2B" w:rsidRPr="00567372" w:rsidRDefault="00BD4A2B" w:rsidP="001F2EBF">
            <w:pPr>
              <w:pStyle w:val="TAL"/>
              <w:rPr>
                <w:rFonts w:cs="Arial"/>
                <w:snapToGrid w:val="0"/>
              </w:rPr>
            </w:pPr>
            <w:r w:rsidRPr="00567372">
              <w:rPr>
                <w:rFonts w:cs="Arial"/>
                <w:snapToGrid w:val="0"/>
              </w:rPr>
              <w:t>Indicates whether the UE is authorized as Pedestrian UE</w:t>
            </w:r>
          </w:p>
        </w:tc>
        <w:tc>
          <w:tcPr>
            <w:tcW w:w="1080" w:type="dxa"/>
          </w:tcPr>
          <w:p w14:paraId="3FD1F438" w14:textId="77777777" w:rsidR="00BD4A2B" w:rsidRPr="00567372" w:rsidRDefault="00BD4A2B" w:rsidP="001F2EBF">
            <w:pPr>
              <w:pStyle w:val="TAL"/>
              <w:jc w:val="center"/>
              <w:rPr>
                <w:rFonts w:cs="Arial"/>
                <w:snapToGrid w:val="0"/>
              </w:rPr>
            </w:pPr>
            <w:r w:rsidRPr="00567372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</w:tcPr>
          <w:p w14:paraId="7492E3AE" w14:textId="77777777" w:rsidR="00BD4A2B" w:rsidRPr="00567372" w:rsidRDefault="00BD4A2B" w:rsidP="001F2EBF">
            <w:pPr>
              <w:pStyle w:val="TAL"/>
              <w:jc w:val="center"/>
              <w:rPr>
                <w:rFonts w:cs="Arial"/>
                <w:snapToGrid w:val="0"/>
              </w:rPr>
            </w:pPr>
            <w:r w:rsidRPr="00567372">
              <w:rPr>
                <w:rFonts w:cs="Arial"/>
                <w:snapToGrid w:val="0"/>
              </w:rPr>
              <w:t>-</w:t>
            </w:r>
          </w:p>
        </w:tc>
      </w:tr>
    </w:tbl>
    <w:p w14:paraId="17B61CBE" w14:textId="77777777" w:rsidR="00BD4A2B" w:rsidRDefault="00BD4A2B" w:rsidP="00BD4A2B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730C69">
        <w:rPr>
          <w:i/>
        </w:rPr>
        <w:t>V2X Services Authorized</w:t>
      </w:r>
      <w:r>
        <w:t xml:space="preserve"> IE.</w:t>
      </w:r>
    </w:p>
    <w:p w14:paraId="45781341" w14:textId="50159FCA" w:rsidR="00BD4A2B" w:rsidRDefault="00E36345" w:rsidP="00BD4A2B">
      <w:pPr>
        <w:rPr>
          <w:lang w:val="en-GB"/>
        </w:rPr>
      </w:pPr>
      <w:r>
        <w:rPr>
          <w:lang w:val="en-GB"/>
        </w:rPr>
        <w:t xml:space="preserve">As in LTE, it has been agreed in the SI that </w:t>
      </w:r>
      <w:r w:rsidRPr="00E36345">
        <w:rPr>
          <w:lang w:val="en-GB"/>
        </w:rPr>
        <w:t>NR V2X UE authorization should allow at least “vehicle” and “pedestrian” services authorization, not precluding a UE being authorized for both at the same time.</w:t>
      </w:r>
      <w:r>
        <w:rPr>
          <w:lang w:val="en-GB"/>
        </w:rPr>
        <w:t xml:space="preserve"> </w:t>
      </w:r>
      <w:r w:rsidR="00BD4A2B" w:rsidRPr="00BD4A2B">
        <w:rPr>
          <w:lang w:val="en-GB"/>
        </w:rPr>
        <w:t xml:space="preserve">The concept behind the authorization IE is that since V2X uses radio resources already in use by other UEs in the same cell, the UE needs authorization from the serving </w:t>
      </w:r>
      <w:proofErr w:type="spellStart"/>
      <w:r w:rsidR="00BD4A2B" w:rsidRPr="00BD4A2B">
        <w:rPr>
          <w:lang w:val="en-GB"/>
        </w:rPr>
        <w:t>eNB</w:t>
      </w:r>
      <w:proofErr w:type="spellEnd"/>
      <w:r w:rsidR="00BD4A2B" w:rsidRPr="00BD4A2B">
        <w:rPr>
          <w:lang w:val="en-GB"/>
        </w:rPr>
        <w:t xml:space="preserve"> before transmitting in the </w:t>
      </w:r>
      <w:proofErr w:type="spellStart"/>
      <w:r w:rsidR="00BD4A2B" w:rsidRPr="00BD4A2B">
        <w:rPr>
          <w:lang w:val="en-GB"/>
        </w:rPr>
        <w:t>sidelink</w:t>
      </w:r>
      <w:proofErr w:type="spellEnd"/>
      <w:r w:rsidR="00BD4A2B" w:rsidRPr="00BD4A2B">
        <w:rPr>
          <w:lang w:val="en-GB"/>
        </w:rPr>
        <w:t xml:space="preserve">, to avoid creating excessive radio interference. This same principle </w:t>
      </w:r>
      <w:r w:rsidR="00F47CEE">
        <w:rPr>
          <w:lang w:val="en-GB"/>
        </w:rPr>
        <w:t>shall</w:t>
      </w:r>
      <w:r w:rsidR="00BD4A2B" w:rsidRPr="00BD4A2B">
        <w:rPr>
          <w:lang w:val="en-GB"/>
        </w:rPr>
        <w:t xml:space="preserve"> hold true also in NR V2X.</w:t>
      </w:r>
      <w:r w:rsidR="001C5123">
        <w:rPr>
          <w:lang w:val="en-GB"/>
        </w:rPr>
        <w:t xml:space="preserve"> </w:t>
      </w:r>
    </w:p>
    <w:p w14:paraId="689FEBA9" w14:textId="169AF939" w:rsidR="00F47CEE" w:rsidRDefault="00F47CEE" w:rsidP="00BD4A2B">
      <w:pPr>
        <w:rPr>
          <w:lang w:val="en-GB"/>
        </w:rPr>
      </w:pPr>
      <w:r>
        <w:rPr>
          <w:lang w:val="en-GB"/>
        </w:rPr>
        <w:lastRenderedPageBreak/>
        <w:t xml:space="preserve">Besides, it was agreed </w:t>
      </w:r>
      <w:r w:rsidR="00891166">
        <w:rPr>
          <w:lang w:val="en-GB"/>
        </w:rPr>
        <w:t>that t</w:t>
      </w:r>
      <w:r w:rsidR="00891166" w:rsidRPr="00891166">
        <w:rPr>
          <w:lang w:val="en-GB"/>
        </w:rPr>
        <w:t>he V2X service authorization information is PC5 RAT specific</w:t>
      </w:r>
      <w:r w:rsidR="002A7D1D">
        <w:rPr>
          <w:lang w:val="en-GB"/>
        </w:rPr>
        <w:t xml:space="preserve">. In other words, </w:t>
      </w:r>
      <w:r w:rsidR="00A15A5E">
        <w:rPr>
          <w:lang w:val="en-GB"/>
        </w:rPr>
        <w:t xml:space="preserve">The V2X authorization shall </w:t>
      </w:r>
      <w:r w:rsidR="002A7D1D" w:rsidRPr="002A7D1D">
        <w:rPr>
          <w:lang w:val="en-GB"/>
        </w:rPr>
        <w:t xml:space="preserve">indicate whether the UE </w:t>
      </w:r>
      <w:r w:rsidR="00A15A5E" w:rsidRPr="002A7D1D">
        <w:rPr>
          <w:lang w:val="en-GB"/>
        </w:rPr>
        <w:t>can support</w:t>
      </w:r>
      <w:r w:rsidR="002A7D1D" w:rsidRPr="002A7D1D">
        <w:rPr>
          <w:lang w:val="en-GB"/>
        </w:rPr>
        <w:t xml:space="preserve"> V2X communication over PC5 reference point, i.e. over LTE PC5, over NR PC5 or over both.</w:t>
      </w:r>
    </w:p>
    <w:p w14:paraId="3CA78AB6" w14:textId="77777777" w:rsidR="003B77EA" w:rsidRPr="003B77EA" w:rsidRDefault="00A15A5E" w:rsidP="003B77EA">
      <w:pPr>
        <w:rPr>
          <w:lang w:val="en-GB" w:eastAsia="zh-CN"/>
        </w:rPr>
      </w:pPr>
      <w:r>
        <w:rPr>
          <w:lang w:val="en-GB"/>
        </w:rPr>
        <w:t>To capture this agreement in the specification, in our understanding</w:t>
      </w:r>
      <w:r w:rsidR="003B77EA">
        <w:rPr>
          <w:lang w:val="en-GB"/>
        </w:rPr>
        <w:t xml:space="preserve"> </w:t>
      </w:r>
      <w:r w:rsidR="003B77EA" w:rsidRPr="003B77EA">
        <w:rPr>
          <w:lang w:val="en-GB" w:eastAsia="zh-CN"/>
        </w:rPr>
        <w:t>two separate “V2X services authorized” indications should be sent to NG-RAN node, i.e., one for LTE V2X SL and one for NR V2X SL.</w:t>
      </w:r>
    </w:p>
    <w:p w14:paraId="02813D64" w14:textId="0F1E0F1F" w:rsidR="003B77EA" w:rsidRPr="003B77EA" w:rsidRDefault="003B77EA" w:rsidP="003B77EA">
      <w:pPr>
        <w:rPr>
          <w:b/>
          <w:lang w:val="en-GB" w:eastAsia="zh-CN"/>
        </w:rPr>
      </w:pPr>
      <w:r w:rsidRPr="003B77EA">
        <w:rPr>
          <w:b/>
          <w:lang w:val="en-GB" w:eastAsia="zh-CN"/>
        </w:rPr>
        <w:t xml:space="preserve">Proposal 1: </w:t>
      </w:r>
      <w:r w:rsidR="002C55D2">
        <w:rPr>
          <w:b/>
          <w:lang w:val="en-GB" w:eastAsia="zh-CN"/>
        </w:rPr>
        <w:t>The</w:t>
      </w:r>
      <w:r w:rsidR="004F4EF3">
        <w:rPr>
          <w:b/>
          <w:lang w:val="en-GB" w:eastAsia="zh-CN"/>
        </w:rPr>
        <w:t xml:space="preserve"> </w:t>
      </w:r>
      <w:r w:rsidRPr="003B77EA">
        <w:rPr>
          <w:b/>
          <w:lang w:val="en-GB" w:eastAsia="zh-CN"/>
        </w:rPr>
        <w:t xml:space="preserve">V2X </w:t>
      </w:r>
      <w:r w:rsidR="004F4EF3">
        <w:rPr>
          <w:b/>
          <w:lang w:val="en-GB" w:eastAsia="zh-CN"/>
        </w:rPr>
        <w:t>S</w:t>
      </w:r>
      <w:r w:rsidRPr="003B77EA">
        <w:rPr>
          <w:b/>
          <w:lang w:val="en-GB" w:eastAsia="zh-CN"/>
        </w:rPr>
        <w:t xml:space="preserve">ervices </w:t>
      </w:r>
      <w:r w:rsidR="004F4EF3">
        <w:rPr>
          <w:b/>
          <w:lang w:val="en-GB" w:eastAsia="zh-CN"/>
        </w:rPr>
        <w:t>A</w:t>
      </w:r>
      <w:r w:rsidRPr="003B77EA">
        <w:rPr>
          <w:b/>
          <w:lang w:val="en-GB" w:eastAsia="zh-CN"/>
        </w:rPr>
        <w:t>uthoriz</w:t>
      </w:r>
      <w:r w:rsidR="004F4EF3">
        <w:rPr>
          <w:b/>
          <w:lang w:val="en-GB" w:eastAsia="zh-CN"/>
        </w:rPr>
        <w:t>ation</w:t>
      </w:r>
      <w:r w:rsidRPr="003B77EA">
        <w:rPr>
          <w:b/>
          <w:lang w:val="en-GB" w:eastAsia="zh-CN"/>
        </w:rPr>
        <w:t xml:space="preserve"> indication sent </w:t>
      </w:r>
      <w:r w:rsidR="000177B5">
        <w:rPr>
          <w:b/>
          <w:lang w:val="en-GB" w:eastAsia="zh-CN"/>
        </w:rPr>
        <w:t xml:space="preserve">over NG </w:t>
      </w:r>
      <w:r w:rsidRPr="003B77EA">
        <w:rPr>
          <w:b/>
          <w:lang w:val="en-GB" w:eastAsia="zh-CN"/>
        </w:rPr>
        <w:t>to NG-RAN node</w:t>
      </w:r>
      <w:r w:rsidR="00A50637">
        <w:rPr>
          <w:b/>
          <w:lang w:val="en-GB" w:eastAsia="zh-CN"/>
        </w:rPr>
        <w:t xml:space="preserve"> and communicated over </w:t>
      </w:r>
      <w:proofErr w:type="spellStart"/>
      <w:r w:rsidR="00A50637">
        <w:rPr>
          <w:b/>
          <w:lang w:val="en-GB" w:eastAsia="zh-CN"/>
        </w:rPr>
        <w:t>Xn</w:t>
      </w:r>
      <w:proofErr w:type="spellEnd"/>
      <w:r w:rsidRPr="003B77EA">
        <w:rPr>
          <w:b/>
          <w:lang w:val="en-GB" w:eastAsia="zh-CN"/>
        </w:rPr>
        <w:t xml:space="preserve"> is per PC5 RAT, </w:t>
      </w:r>
      <w:r w:rsidR="00161437">
        <w:rPr>
          <w:b/>
          <w:lang w:val="en-GB" w:eastAsia="zh-CN"/>
        </w:rPr>
        <w:t>thus</w:t>
      </w:r>
      <w:r w:rsidRPr="003B77EA">
        <w:rPr>
          <w:b/>
          <w:lang w:val="en-GB" w:eastAsia="zh-CN"/>
        </w:rPr>
        <w:t xml:space="preserve"> two separate “V2X services authorized” IEs should be defined</w:t>
      </w:r>
      <w:r w:rsidR="00000304">
        <w:rPr>
          <w:b/>
          <w:lang w:val="en-GB" w:eastAsia="zh-CN"/>
        </w:rPr>
        <w:t xml:space="preserve"> for each RAT</w:t>
      </w:r>
      <w:r w:rsidRPr="003B77EA">
        <w:rPr>
          <w:b/>
          <w:lang w:val="en-GB" w:eastAsia="zh-CN"/>
        </w:rPr>
        <w:t>.</w:t>
      </w:r>
      <w:r w:rsidR="00161437">
        <w:rPr>
          <w:b/>
          <w:lang w:val="en-GB" w:eastAsia="zh-CN"/>
        </w:rPr>
        <w:t xml:space="preserve"> </w:t>
      </w:r>
    </w:p>
    <w:p w14:paraId="3C9E6781" w14:textId="20AD8C5A" w:rsidR="00000304" w:rsidRPr="003B77EA" w:rsidRDefault="00000304" w:rsidP="00000304">
      <w:pPr>
        <w:rPr>
          <w:b/>
          <w:lang w:val="en-GB" w:eastAsia="zh-CN"/>
        </w:rPr>
      </w:pPr>
    </w:p>
    <w:p w14:paraId="2BF0C550" w14:textId="6B8DCEBF" w:rsidR="00AC1A6F" w:rsidRPr="00AA336D" w:rsidRDefault="0063736A" w:rsidP="00AC1A6F">
      <w:pPr>
        <w:pStyle w:val="Heading2"/>
        <w:keepLines w:val="0"/>
        <w:tabs>
          <w:tab w:val="clear" w:pos="7506"/>
          <w:tab w:val="num" w:pos="576"/>
        </w:tabs>
        <w:ind w:left="578" w:hanging="578"/>
      </w:pPr>
      <w:r>
        <w:t xml:space="preserve">UE </w:t>
      </w:r>
      <w:proofErr w:type="spellStart"/>
      <w:r>
        <w:t>sidelink</w:t>
      </w:r>
      <w:proofErr w:type="spellEnd"/>
      <w:r>
        <w:t xml:space="preserve"> AMBR in NG-RAN</w:t>
      </w:r>
    </w:p>
    <w:p w14:paraId="07953F18" w14:textId="70A4043F" w:rsidR="008234C4" w:rsidRDefault="00BE3824" w:rsidP="00AC1A6F">
      <w:pPr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 xml:space="preserve">In [1], the following agreement was captured regarding the </w:t>
      </w:r>
      <w:r w:rsidR="00FE2D1C">
        <w:rPr>
          <w:rFonts w:cstheme="minorHAnsi"/>
          <w:lang w:val="en-GB" w:eastAsia="zh-CN"/>
        </w:rPr>
        <w:t>UE SL AMBR:</w:t>
      </w:r>
    </w:p>
    <w:p w14:paraId="45BDA521" w14:textId="77777777" w:rsidR="00643F6B" w:rsidRPr="00643F6B" w:rsidRDefault="00643F6B" w:rsidP="00643F6B">
      <w:pPr>
        <w:ind w:left="1304"/>
        <w:rPr>
          <w:color w:val="00B050"/>
          <w:lang w:val="en-US" w:eastAsia="zh-CN"/>
        </w:rPr>
      </w:pPr>
      <w:r w:rsidRPr="00643F6B">
        <w:rPr>
          <w:color w:val="00B050"/>
          <w:lang w:val="en-US" w:eastAsia="zh-CN"/>
        </w:rPr>
        <w:t xml:space="preserve">The assignment of UE SL AMBR follows similar principles as in LTE and will be conveyed by 5GC to the NG-RAN node over the NG interface and provided between NG-RAN nodes by the </w:t>
      </w:r>
      <w:proofErr w:type="spellStart"/>
      <w:r w:rsidRPr="00643F6B">
        <w:rPr>
          <w:color w:val="00B050"/>
          <w:lang w:val="en-US" w:eastAsia="zh-CN"/>
        </w:rPr>
        <w:t>Xn</w:t>
      </w:r>
      <w:proofErr w:type="spellEnd"/>
      <w:r w:rsidRPr="00643F6B">
        <w:rPr>
          <w:color w:val="00B050"/>
          <w:lang w:val="en-US" w:eastAsia="zh-CN"/>
        </w:rPr>
        <w:t xml:space="preserve"> interface during mobility events. The UE SL AMBR is PC5 RAT specific.</w:t>
      </w:r>
    </w:p>
    <w:p w14:paraId="67E078B7" w14:textId="77777777" w:rsidR="003A26CA" w:rsidRDefault="00643F6B" w:rsidP="00643F6B">
      <w:pPr>
        <w:rPr>
          <w:lang w:val="en-GB"/>
        </w:rPr>
      </w:pPr>
      <w:r>
        <w:rPr>
          <w:lang w:val="en-GB"/>
        </w:rPr>
        <w:t>In LTE</w:t>
      </w:r>
      <w:r w:rsidRPr="00BD4A2B">
        <w:rPr>
          <w:lang w:val="en-GB"/>
        </w:rPr>
        <w:t xml:space="preserve"> </w:t>
      </w:r>
      <w:r>
        <w:rPr>
          <w:lang w:val="en-GB"/>
        </w:rPr>
        <w:t xml:space="preserve">the </w:t>
      </w:r>
      <w:r w:rsidR="0071388D" w:rsidRPr="0071388D">
        <w:rPr>
          <w:i/>
          <w:lang w:val="en-GB"/>
        </w:rPr>
        <w:t xml:space="preserve">UE </w:t>
      </w:r>
      <w:proofErr w:type="spellStart"/>
      <w:r w:rsidR="0071388D" w:rsidRPr="0071388D">
        <w:rPr>
          <w:i/>
          <w:lang w:val="en-GB"/>
        </w:rPr>
        <w:t>Sidelink</w:t>
      </w:r>
      <w:proofErr w:type="spellEnd"/>
      <w:r w:rsidR="0071388D" w:rsidRPr="0071388D">
        <w:rPr>
          <w:i/>
          <w:lang w:val="en-GB"/>
        </w:rPr>
        <w:t xml:space="preserve"> Aggregate Maximum Bit Rate</w:t>
      </w:r>
      <w:r w:rsidR="0071388D" w:rsidRPr="0071388D">
        <w:rPr>
          <w:lang w:val="en-GB"/>
        </w:rPr>
        <w:t xml:space="preserve"> </w:t>
      </w:r>
      <w:r w:rsidR="0071388D">
        <w:rPr>
          <w:lang w:val="en-GB"/>
        </w:rPr>
        <w:t xml:space="preserve">IE is </w:t>
      </w:r>
      <w:proofErr w:type="spellStart"/>
      <w:r w:rsidRPr="00BD4A2B">
        <w:rPr>
          <w:lang w:val="en-GB"/>
        </w:rPr>
        <w:t>signaled</w:t>
      </w:r>
      <w:proofErr w:type="spellEnd"/>
      <w:r w:rsidRPr="00BD4A2B">
        <w:rPr>
          <w:lang w:val="en-GB"/>
        </w:rPr>
        <w:t xml:space="preserve"> over S1 and X2 </w:t>
      </w:r>
      <w:r>
        <w:fldChar w:fldCharType="begin"/>
      </w:r>
      <w:r w:rsidRPr="00BD4A2B">
        <w:rPr>
          <w:lang w:val="en-GB"/>
        </w:rPr>
        <w:instrText xml:space="preserve"> REF _Ref525891804 \r \h </w:instrText>
      </w:r>
      <w:r>
        <w:fldChar w:fldCharType="separate"/>
      </w:r>
      <w:r w:rsidRPr="00BD4A2B">
        <w:rPr>
          <w:lang w:val="en-GB"/>
        </w:rPr>
        <w:t>[2]</w:t>
      </w:r>
      <w:r>
        <w:fldChar w:fldCharType="end"/>
      </w:r>
      <w:r>
        <w:fldChar w:fldCharType="begin"/>
      </w:r>
      <w:r w:rsidRPr="00BD4A2B">
        <w:rPr>
          <w:lang w:val="en-GB"/>
        </w:rPr>
        <w:instrText xml:space="preserve"> REF _Ref525891807 \r \h </w:instrText>
      </w:r>
      <w:r>
        <w:fldChar w:fldCharType="separate"/>
      </w:r>
      <w:r w:rsidRPr="00BD4A2B">
        <w:rPr>
          <w:lang w:val="en-GB"/>
        </w:rPr>
        <w:t>[3]</w:t>
      </w:r>
      <w:r>
        <w:fldChar w:fldCharType="end"/>
      </w:r>
      <w:r w:rsidRPr="00BD4A2B">
        <w:rPr>
          <w:lang w:val="en-GB"/>
        </w:rPr>
        <w:t xml:space="preserve">. </w:t>
      </w:r>
      <w:r w:rsidR="00810BB0" w:rsidRPr="00810BB0">
        <w:rPr>
          <w:lang w:val="en-GB"/>
        </w:rPr>
        <w:t xml:space="preserve">We should also keep in mind that in the </w:t>
      </w:r>
      <w:proofErr w:type="spellStart"/>
      <w:r w:rsidR="00810BB0" w:rsidRPr="00810BB0">
        <w:rPr>
          <w:lang w:val="en-GB"/>
        </w:rPr>
        <w:t>sidelink</w:t>
      </w:r>
      <w:proofErr w:type="spellEnd"/>
      <w:r w:rsidR="00810BB0" w:rsidRPr="00810BB0">
        <w:rPr>
          <w:lang w:val="en-GB"/>
        </w:rPr>
        <w:t>, one UE’s DL is another UE’s UL, so it is pointless to differentiate between the two.</w:t>
      </w:r>
    </w:p>
    <w:p w14:paraId="2AA3F1B1" w14:textId="4691F13D" w:rsidR="00643F6B" w:rsidRPr="00BD4A2B" w:rsidRDefault="0071388D" w:rsidP="00643F6B">
      <w:pPr>
        <w:rPr>
          <w:lang w:val="en-GB"/>
        </w:rPr>
      </w:pPr>
      <w:r>
        <w:rPr>
          <w:lang w:val="en-GB"/>
        </w:rPr>
        <w:t>I</w:t>
      </w:r>
      <w:r w:rsidR="00643F6B">
        <w:rPr>
          <w:lang w:val="en-GB"/>
        </w:rPr>
        <w:t>ts</w:t>
      </w:r>
      <w:r w:rsidR="00643F6B" w:rsidRPr="00BD4A2B">
        <w:rPr>
          <w:lang w:val="en-GB"/>
        </w:rPr>
        <w:t xml:space="preserve"> structure is shown below</w:t>
      </w:r>
      <w:r>
        <w:rPr>
          <w:lang w:val="en-GB"/>
        </w:rPr>
        <w:t xml:space="preserve"> for reference</w:t>
      </w:r>
      <w:r w:rsidR="00643F6B">
        <w:rPr>
          <w:lang w:val="en-GB"/>
        </w:rPr>
        <w:t>:</w:t>
      </w:r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5"/>
        <w:gridCol w:w="1134"/>
        <w:gridCol w:w="992"/>
        <w:gridCol w:w="1417"/>
        <w:gridCol w:w="2835"/>
      </w:tblGrid>
      <w:tr w:rsidR="00CC1953" w:rsidRPr="00567372" w14:paraId="13065CCC" w14:textId="77777777" w:rsidTr="001F2EBF">
        <w:tc>
          <w:tcPr>
            <w:tcW w:w="2295" w:type="dxa"/>
          </w:tcPr>
          <w:p w14:paraId="70D23C94" w14:textId="77777777" w:rsidR="00CC1953" w:rsidRPr="00567372" w:rsidRDefault="00CC1953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4C6AE2E4" w14:textId="77777777" w:rsidR="00CC1953" w:rsidRPr="00567372" w:rsidRDefault="00CC1953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Presence</w:t>
            </w:r>
          </w:p>
        </w:tc>
        <w:tc>
          <w:tcPr>
            <w:tcW w:w="992" w:type="dxa"/>
          </w:tcPr>
          <w:p w14:paraId="3B8F18AC" w14:textId="77777777" w:rsidR="00CC1953" w:rsidRPr="00567372" w:rsidRDefault="00CC1953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Range</w:t>
            </w:r>
          </w:p>
        </w:tc>
        <w:tc>
          <w:tcPr>
            <w:tcW w:w="1417" w:type="dxa"/>
          </w:tcPr>
          <w:p w14:paraId="7BB26223" w14:textId="77777777" w:rsidR="00CC1953" w:rsidRPr="00567372" w:rsidRDefault="00CC1953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IE type and reference</w:t>
            </w:r>
          </w:p>
        </w:tc>
        <w:tc>
          <w:tcPr>
            <w:tcW w:w="2835" w:type="dxa"/>
          </w:tcPr>
          <w:p w14:paraId="056BC8E3" w14:textId="77777777" w:rsidR="00CC1953" w:rsidRPr="00567372" w:rsidRDefault="00CC1953" w:rsidP="001F2EBF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</w:rPr>
              <w:t>Semantics description</w:t>
            </w:r>
          </w:p>
        </w:tc>
      </w:tr>
      <w:tr w:rsidR="00CC1953" w:rsidRPr="00BE240A" w14:paraId="6B80007E" w14:textId="77777777" w:rsidTr="001F2EBF">
        <w:tc>
          <w:tcPr>
            <w:tcW w:w="2295" w:type="dxa"/>
          </w:tcPr>
          <w:p w14:paraId="7622B7A7" w14:textId="77777777" w:rsidR="00CC1953" w:rsidRPr="00567372" w:rsidRDefault="00CC1953" w:rsidP="001F2EB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 UE </w:t>
            </w:r>
            <w:proofErr w:type="spellStart"/>
            <w:r w:rsidRPr="00567372">
              <w:rPr>
                <w:rFonts w:cs="Arial"/>
                <w:lang w:eastAsia="zh-CN"/>
              </w:rPr>
              <w:t>Sidelink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Aggregate Maximum Bit Rate</w:t>
            </w:r>
          </w:p>
        </w:tc>
        <w:tc>
          <w:tcPr>
            <w:tcW w:w="1134" w:type="dxa"/>
          </w:tcPr>
          <w:p w14:paraId="2CEC6EB1" w14:textId="77777777" w:rsidR="00CC1953" w:rsidRPr="00567372" w:rsidRDefault="00CC1953" w:rsidP="001F2EB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</w:tcPr>
          <w:p w14:paraId="055F3ADF" w14:textId="77777777" w:rsidR="00CC1953" w:rsidRPr="00567372" w:rsidRDefault="00CC1953" w:rsidP="001F2EBF">
            <w:pPr>
              <w:pStyle w:val="TAL"/>
              <w:rPr>
                <w:rFonts w:cs="Arial"/>
              </w:rPr>
            </w:pPr>
          </w:p>
        </w:tc>
        <w:tc>
          <w:tcPr>
            <w:tcW w:w="1417" w:type="dxa"/>
          </w:tcPr>
          <w:p w14:paraId="316223D3" w14:textId="77777777" w:rsidR="00CC1953" w:rsidRPr="00567372" w:rsidRDefault="00CC1953" w:rsidP="001F2EBF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</w:rPr>
              <w:t>Bit Rate 9.2.1.19</w:t>
            </w:r>
          </w:p>
        </w:tc>
        <w:tc>
          <w:tcPr>
            <w:tcW w:w="2835" w:type="dxa"/>
          </w:tcPr>
          <w:p w14:paraId="1D0532F1" w14:textId="77777777" w:rsidR="00CC1953" w:rsidRPr="00567372" w:rsidRDefault="00CC1953" w:rsidP="001F2EBF">
            <w:pPr>
              <w:pStyle w:val="TAL"/>
              <w:rPr>
                <w:rFonts w:cs="Arial"/>
                <w:snapToGrid w:val="0"/>
              </w:rPr>
            </w:pPr>
            <w:r w:rsidRPr="00567372">
              <w:rPr>
                <w:rFonts w:cs="Arial"/>
                <w:lang w:eastAsia="zh-CN"/>
              </w:rPr>
              <w:t xml:space="preserve">Value 0 </w:t>
            </w:r>
            <w:r w:rsidRPr="00567372">
              <w:rPr>
                <w:rFonts w:cs="Arial"/>
              </w:rPr>
              <w:t xml:space="preserve">shall be considered as a logical error by the </w:t>
            </w:r>
            <w:r w:rsidRPr="00567372">
              <w:rPr>
                <w:rFonts w:cs="Arial"/>
                <w:lang w:eastAsia="zh-CN"/>
              </w:rPr>
              <w:t xml:space="preserve">receiving </w:t>
            </w:r>
            <w:proofErr w:type="spellStart"/>
            <w:r w:rsidRPr="00567372">
              <w:rPr>
                <w:rFonts w:cs="Arial"/>
              </w:rPr>
              <w:t>eNB</w:t>
            </w:r>
            <w:proofErr w:type="spellEnd"/>
            <w:r w:rsidRPr="00567372">
              <w:rPr>
                <w:rFonts w:cs="Arial"/>
              </w:rPr>
              <w:t>.</w:t>
            </w:r>
          </w:p>
        </w:tc>
      </w:tr>
    </w:tbl>
    <w:p w14:paraId="289FE3C7" w14:textId="77777777" w:rsidR="00CC1953" w:rsidRDefault="00CC1953" w:rsidP="00CC1953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730C69">
        <w:rPr>
          <w:i/>
        </w:rPr>
        <w:t xml:space="preserve">UE </w:t>
      </w:r>
      <w:proofErr w:type="spellStart"/>
      <w:r w:rsidRPr="00730C69">
        <w:rPr>
          <w:i/>
        </w:rPr>
        <w:t>Sidelink</w:t>
      </w:r>
      <w:proofErr w:type="spellEnd"/>
      <w:r w:rsidRPr="00730C69">
        <w:rPr>
          <w:i/>
        </w:rPr>
        <w:t xml:space="preserve"> Aggregate Maximum Bit Rate</w:t>
      </w:r>
      <w:r>
        <w:t xml:space="preserve"> IE.</w:t>
      </w:r>
    </w:p>
    <w:p w14:paraId="3FB0A9D0" w14:textId="50024300" w:rsidR="00054FA4" w:rsidRPr="00054FA4" w:rsidRDefault="00054FA4" w:rsidP="00054FA4">
      <w:pPr>
        <w:rPr>
          <w:lang w:val="en-GB" w:eastAsia="zh-CN"/>
        </w:rPr>
      </w:pPr>
      <w:r>
        <w:rPr>
          <w:rFonts w:cstheme="minorHAnsi"/>
          <w:lang w:val="en-US" w:eastAsia="zh-CN"/>
        </w:rPr>
        <w:t>Similarly,</w:t>
      </w:r>
      <w:r w:rsidR="00536D67">
        <w:rPr>
          <w:rFonts w:cstheme="minorHAnsi"/>
          <w:lang w:val="en-US" w:eastAsia="zh-CN"/>
        </w:rPr>
        <w:t xml:space="preserve"> to the V2X service authorization, </w:t>
      </w:r>
      <w:r w:rsidR="00536D67" w:rsidRPr="00536D67">
        <w:rPr>
          <w:lang w:val="en-GB" w:eastAsia="zh-CN"/>
        </w:rPr>
        <w:t xml:space="preserve">the UE </w:t>
      </w:r>
      <w:proofErr w:type="spellStart"/>
      <w:r w:rsidR="00536D67" w:rsidRPr="00536D67">
        <w:rPr>
          <w:lang w:val="en-GB" w:eastAsia="zh-CN"/>
        </w:rPr>
        <w:t>sidelink</w:t>
      </w:r>
      <w:proofErr w:type="spellEnd"/>
      <w:r w:rsidR="00536D67" w:rsidRPr="00536D67">
        <w:rPr>
          <w:lang w:val="en-GB" w:eastAsia="zh-CN"/>
        </w:rPr>
        <w:t xml:space="preserve"> AMBR </w:t>
      </w:r>
      <w:r w:rsidR="00536D67">
        <w:rPr>
          <w:lang w:val="en-GB" w:eastAsia="zh-CN"/>
        </w:rPr>
        <w:t>has been agreed to be</w:t>
      </w:r>
      <w:r w:rsidR="00536D67" w:rsidRPr="00536D67">
        <w:rPr>
          <w:lang w:val="en-GB" w:eastAsia="zh-CN"/>
        </w:rPr>
        <w:t xml:space="preserve"> per PC5 RAT</w:t>
      </w:r>
      <w:r w:rsidR="00536D67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2C55D2">
        <w:rPr>
          <w:lang w:val="en-GB" w:eastAsia="zh-CN"/>
        </w:rPr>
        <w:t>Hence</w:t>
      </w:r>
      <w:r>
        <w:rPr>
          <w:lang w:val="en-GB" w:eastAsia="zh-CN"/>
        </w:rPr>
        <w:t xml:space="preserve">, </w:t>
      </w:r>
      <w:r w:rsidRPr="00054FA4">
        <w:rPr>
          <w:lang w:val="en-GB" w:eastAsia="zh-CN"/>
        </w:rPr>
        <w:t xml:space="preserve">the 5GC </w:t>
      </w:r>
      <w:r>
        <w:rPr>
          <w:lang w:val="en-GB" w:eastAsia="zh-CN"/>
        </w:rPr>
        <w:t xml:space="preserve">can </w:t>
      </w:r>
      <w:r w:rsidRPr="00054FA4">
        <w:rPr>
          <w:lang w:val="en-GB" w:eastAsia="zh-CN"/>
        </w:rPr>
        <w:t xml:space="preserve">provide two separate UE </w:t>
      </w:r>
      <w:proofErr w:type="spellStart"/>
      <w:r w:rsidRPr="00054FA4">
        <w:rPr>
          <w:lang w:val="en-GB" w:eastAsia="zh-CN"/>
        </w:rPr>
        <w:t>sidelink</w:t>
      </w:r>
      <w:proofErr w:type="spellEnd"/>
      <w:r w:rsidRPr="00054FA4">
        <w:rPr>
          <w:lang w:val="en-GB" w:eastAsia="zh-CN"/>
        </w:rPr>
        <w:t xml:space="preserve"> AMBR for LTE V2X and NR V2X.</w:t>
      </w:r>
      <w:r w:rsidR="002C55D2">
        <w:rPr>
          <w:lang w:val="en-GB" w:eastAsia="zh-CN"/>
        </w:rPr>
        <w:t xml:space="preserve"> In other words</w:t>
      </w:r>
      <w:r w:rsidRPr="00054FA4">
        <w:rPr>
          <w:lang w:val="en-GB" w:eastAsia="zh-CN"/>
        </w:rPr>
        <w:t xml:space="preserve">, the 5GC </w:t>
      </w:r>
      <w:r w:rsidR="002C55D2">
        <w:rPr>
          <w:lang w:val="en-GB" w:eastAsia="zh-CN"/>
        </w:rPr>
        <w:t xml:space="preserve">can </w:t>
      </w:r>
      <w:r w:rsidRPr="00054FA4">
        <w:rPr>
          <w:lang w:val="en-GB" w:eastAsia="zh-CN"/>
        </w:rPr>
        <w:t xml:space="preserve">provide two IEs for UE </w:t>
      </w:r>
      <w:proofErr w:type="spellStart"/>
      <w:r w:rsidRPr="00054FA4">
        <w:rPr>
          <w:lang w:val="en-GB" w:eastAsia="zh-CN"/>
        </w:rPr>
        <w:t>sidelink</w:t>
      </w:r>
      <w:proofErr w:type="spellEnd"/>
      <w:r w:rsidRPr="00054FA4">
        <w:rPr>
          <w:lang w:val="en-GB" w:eastAsia="zh-CN"/>
        </w:rPr>
        <w:t xml:space="preserve"> AMBR to the NG-RAN node, one for LTE V2X SL and one for NR V2X SL.</w:t>
      </w:r>
    </w:p>
    <w:p w14:paraId="038646E9" w14:textId="5D17AFF6" w:rsidR="002C55D2" w:rsidRPr="003B77EA" w:rsidRDefault="002C55D2" w:rsidP="002C55D2">
      <w:pPr>
        <w:rPr>
          <w:b/>
          <w:lang w:val="en-GB" w:eastAsia="zh-CN"/>
        </w:rPr>
      </w:pPr>
      <w:r w:rsidRPr="003B77EA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 w:rsidRPr="003B77EA">
        <w:rPr>
          <w:b/>
          <w:lang w:val="en-GB" w:eastAsia="zh-CN"/>
        </w:rPr>
        <w:t xml:space="preserve">: </w:t>
      </w:r>
      <w:r w:rsidRPr="002C55D2">
        <w:rPr>
          <w:b/>
          <w:lang w:val="en-GB" w:eastAsia="zh-CN"/>
        </w:rPr>
        <w:t xml:space="preserve">The UE </w:t>
      </w:r>
      <w:proofErr w:type="spellStart"/>
      <w:r w:rsidRPr="002C55D2">
        <w:rPr>
          <w:b/>
          <w:lang w:val="en-GB" w:eastAsia="zh-CN"/>
        </w:rPr>
        <w:t>Sidelink</w:t>
      </w:r>
      <w:proofErr w:type="spellEnd"/>
      <w:r w:rsidRPr="002C55D2">
        <w:rPr>
          <w:b/>
          <w:lang w:val="en-GB" w:eastAsia="zh-CN"/>
        </w:rPr>
        <w:t xml:space="preserve"> AMBR </w:t>
      </w:r>
      <w:r>
        <w:rPr>
          <w:b/>
          <w:lang w:val="en-GB" w:eastAsia="zh-CN"/>
        </w:rPr>
        <w:t>sent to</w:t>
      </w:r>
      <w:r w:rsidRPr="003B77EA">
        <w:rPr>
          <w:b/>
          <w:lang w:val="en-GB" w:eastAsia="zh-CN"/>
        </w:rPr>
        <w:t xml:space="preserve"> NG-RAN node</w:t>
      </w:r>
      <w:r>
        <w:rPr>
          <w:b/>
          <w:lang w:val="en-GB" w:eastAsia="zh-CN"/>
        </w:rPr>
        <w:t xml:space="preserve"> from 5GC</w:t>
      </w:r>
      <w:r w:rsidR="006B5544">
        <w:rPr>
          <w:b/>
          <w:lang w:val="en-GB" w:eastAsia="zh-CN"/>
        </w:rPr>
        <w:t xml:space="preserve"> and communicated over </w:t>
      </w:r>
      <w:proofErr w:type="spellStart"/>
      <w:r w:rsidR="006B5544">
        <w:rPr>
          <w:b/>
          <w:lang w:val="en-GB" w:eastAsia="zh-CN"/>
        </w:rPr>
        <w:t>Xn</w:t>
      </w:r>
      <w:proofErr w:type="spellEnd"/>
      <w:r w:rsidRPr="003B77EA">
        <w:rPr>
          <w:b/>
          <w:lang w:val="en-GB" w:eastAsia="zh-CN"/>
        </w:rPr>
        <w:t xml:space="preserve"> is per PC5 RAT, </w:t>
      </w:r>
      <w:r>
        <w:rPr>
          <w:b/>
          <w:lang w:val="en-GB" w:eastAsia="zh-CN"/>
        </w:rPr>
        <w:t>thus</w:t>
      </w:r>
      <w:r w:rsidRPr="003B77EA">
        <w:rPr>
          <w:b/>
          <w:lang w:val="en-GB" w:eastAsia="zh-CN"/>
        </w:rPr>
        <w:t xml:space="preserve"> two separate </w:t>
      </w:r>
      <w:r w:rsidRPr="002C55D2">
        <w:rPr>
          <w:b/>
          <w:lang w:val="en-GB" w:eastAsia="zh-CN"/>
        </w:rPr>
        <w:t xml:space="preserve">UE </w:t>
      </w:r>
      <w:proofErr w:type="spellStart"/>
      <w:r w:rsidRPr="002C55D2">
        <w:rPr>
          <w:b/>
          <w:lang w:val="en-GB" w:eastAsia="zh-CN"/>
        </w:rPr>
        <w:t>sidelink</w:t>
      </w:r>
      <w:proofErr w:type="spellEnd"/>
      <w:r w:rsidRPr="002C55D2">
        <w:rPr>
          <w:b/>
          <w:lang w:val="en-GB" w:eastAsia="zh-CN"/>
        </w:rPr>
        <w:t xml:space="preserve"> AMBR </w:t>
      </w:r>
      <w:r w:rsidRPr="003B77EA">
        <w:rPr>
          <w:b/>
          <w:lang w:val="en-GB" w:eastAsia="zh-CN"/>
        </w:rPr>
        <w:t>IEs should be defined</w:t>
      </w:r>
      <w:r>
        <w:rPr>
          <w:b/>
          <w:lang w:val="en-GB" w:eastAsia="zh-CN"/>
        </w:rPr>
        <w:t xml:space="preserve"> for each RAT</w:t>
      </w:r>
      <w:r w:rsidRPr="003B77EA">
        <w:rPr>
          <w:b/>
          <w:lang w:val="en-GB" w:eastAsia="zh-CN"/>
        </w:rPr>
        <w:t>.</w:t>
      </w:r>
      <w:r>
        <w:rPr>
          <w:b/>
          <w:lang w:val="en-GB" w:eastAsia="zh-CN"/>
        </w:rPr>
        <w:t xml:space="preserve"> </w:t>
      </w:r>
    </w:p>
    <w:p w14:paraId="44CB4FAD" w14:textId="7336F673" w:rsidR="006B5544" w:rsidRPr="00031915" w:rsidRDefault="006B5544" w:rsidP="006B5544">
      <w:pPr>
        <w:rPr>
          <w:rStyle w:val="IvDbodytextChar"/>
          <w:rFonts w:asciiTheme="minorHAnsi" w:eastAsiaTheme="minorHAnsi" w:hAnsiTheme="minorHAnsi" w:cstheme="minorHAnsi"/>
          <w:sz w:val="22"/>
          <w:szCs w:val="22"/>
        </w:rPr>
      </w:pPr>
      <w:r>
        <w:rPr>
          <w:lang w:val="en-GB"/>
        </w:rPr>
        <w:t>We provide CRs in [</w:t>
      </w:r>
      <w:r w:rsidR="00F73707">
        <w:rPr>
          <w:lang w:val="en-GB"/>
        </w:rPr>
        <w:t>4</w:t>
      </w:r>
      <w:r>
        <w:rPr>
          <w:lang w:val="en-GB"/>
        </w:rPr>
        <w:t>] and [</w:t>
      </w:r>
      <w:r w:rsidR="00F73707">
        <w:rPr>
          <w:lang w:val="en-GB"/>
        </w:rPr>
        <w:t>5</w:t>
      </w:r>
      <w:r>
        <w:rPr>
          <w:lang w:val="en-GB"/>
        </w:rPr>
        <w:t>] with our view on how to include the V2X services authorization indication</w:t>
      </w:r>
      <w:r w:rsidR="00F73707">
        <w:rPr>
          <w:lang w:val="en-GB"/>
        </w:rPr>
        <w:t xml:space="preserve"> and UE SL AMBR</w:t>
      </w:r>
      <w:r>
        <w:rPr>
          <w:lang w:val="en-GB"/>
        </w:rPr>
        <w:t xml:space="preserve"> in NGAP and </w:t>
      </w:r>
      <w:proofErr w:type="spellStart"/>
      <w:r>
        <w:rPr>
          <w:lang w:val="en-GB"/>
        </w:rPr>
        <w:t>XnAP</w:t>
      </w:r>
      <w:proofErr w:type="spellEnd"/>
      <w:r>
        <w:rPr>
          <w:lang w:val="en-GB"/>
        </w:rPr>
        <w:t xml:space="preserve"> specification.</w:t>
      </w:r>
    </w:p>
    <w:p w14:paraId="784C79E3" w14:textId="47B35E51" w:rsidR="00B204A0" w:rsidRPr="006B5544" w:rsidRDefault="00B204A0" w:rsidP="00B204A0">
      <w:pPr>
        <w:rPr>
          <w:rFonts w:ascii="Arial" w:hAnsi="Arial" w:cs="Arial"/>
          <w:sz w:val="20"/>
          <w:lang w:val="en-US" w:eastAsia="zh-CN"/>
        </w:rPr>
      </w:pPr>
    </w:p>
    <w:p w14:paraId="28ECF39A" w14:textId="77777777" w:rsidR="00B204A0" w:rsidRPr="007D3E81" w:rsidRDefault="00B204A0" w:rsidP="00B204A0">
      <w:pPr>
        <w:pStyle w:val="Heading1"/>
        <w:rPr>
          <w:lang w:eastAsia="zh-CN"/>
        </w:rPr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 w:rsidRPr="007D3E81">
        <w:rPr>
          <w:lang w:eastAsia="zh-CN"/>
        </w:rPr>
        <w:t>Conclusion</w:t>
      </w:r>
    </w:p>
    <w:p w14:paraId="254A116C" w14:textId="661B5043" w:rsidR="00B204A0" w:rsidRDefault="00C62C24" w:rsidP="00B204A0">
      <w:pPr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>In this paper, we</w:t>
      </w:r>
      <w:r w:rsidR="00A50637">
        <w:rPr>
          <w:rFonts w:cstheme="minorHAnsi"/>
          <w:lang w:val="en-GB" w:eastAsia="zh-CN"/>
        </w:rPr>
        <w:t xml:space="preserve"> have</w:t>
      </w:r>
      <w:r>
        <w:rPr>
          <w:rFonts w:cstheme="minorHAnsi"/>
          <w:lang w:val="en-GB" w:eastAsia="zh-CN"/>
        </w:rPr>
        <w:t xml:space="preserve"> discussed on </w:t>
      </w:r>
      <w:r w:rsidR="00A50637">
        <w:rPr>
          <w:rFonts w:cstheme="minorHAnsi"/>
          <w:lang w:val="en-GB" w:eastAsia="zh-CN"/>
        </w:rPr>
        <w:t>the</w:t>
      </w:r>
      <w:r w:rsidR="00DF305C">
        <w:rPr>
          <w:rFonts w:cstheme="minorHAnsi"/>
          <w:lang w:val="en-GB" w:eastAsia="zh-CN"/>
        </w:rPr>
        <w:t xml:space="preserve"> implications of </w:t>
      </w:r>
      <w:r w:rsidR="00A50637">
        <w:rPr>
          <w:rFonts w:cstheme="minorHAnsi"/>
          <w:lang w:val="en-GB" w:eastAsia="zh-CN"/>
        </w:rPr>
        <w:t>introduc</w:t>
      </w:r>
      <w:r w:rsidR="00DF305C">
        <w:rPr>
          <w:rFonts w:cstheme="minorHAnsi"/>
          <w:lang w:val="en-GB" w:eastAsia="zh-CN"/>
        </w:rPr>
        <w:t>ing</w:t>
      </w:r>
      <w:r w:rsidR="00A50637">
        <w:rPr>
          <w:rFonts w:cstheme="minorHAnsi"/>
          <w:lang w:val="en-GB" w:eastAsia="zh-CN"/>
        </w:rPr>
        <w:t xml:space="preserve"> </w:t>
      </w:r>
      <w:r w:rsidR="00DF305C">
        <w:rPr>
          <w:rFonts w:cstheme="minorHAnsi"/>
          <w:lang w:val="en-GB" w:eastAsia="zh-CN"/>
        </w:rPr>
        <w:t>the</w:t>
      </w:r>
      <w:r w:rsidR="00A50637">
        <w:rPr>
          <w:rFonts w:cstheme="minorHAnsi"/>
          <w:lang w:val="en-GB" w:eastAsia="zh-CN"/>
        </w:rPr>
        <w:t xml:space="preserve"> </w:t>
      </w:r>
      <w:r w:rsidR="006E2D87">
        <w:rPr>
          <w:rFonts w:cstheme="minorHAnsi"/>
          <w:lang w:val="en-GB" w:eastAsia="zh-CN"/>
        </w:rPr>
        <w:t>NR V2X</w:t>
      </w:r>
      <w:r w:rsidR="006B5544">
        <w:rPr>
          <w:rFonts w:cstheme="minorHAnsi"/>
          <w:lang w:val="en-GB" w:eastAsia="zh-CN"/>
        </w:rPr>
        <w:t xml:space="preserve"> service authorization and UE SL AMBR</w:t>
      </w:r>
      <w:r w:rsidR="00DF305C">
        <w:rPr>
          <w:rFonts w:cstheme="minorHAnsi"/>
          <w:lang w:val="en-GB" w:eastAsia="zh-CN"/>
        </w:rPr>
        <w:t xml:space="preserve"> to NGAP and </w:t>
      </w:r>
      <w:proofErr w:type="spellStart"/>
      <w:r w:rsidR="00DF305C">
        <w:rPr>
          <w:rFonts w:cstheme="minorHAnsi"/>
          <w:lang w:val="en-GB" w:eastAsia="zh-CN"/>
        </w:rPr>
        <w:t>XnAP</w:t>
      </w:r>
      <w:proofErr w:type="spellEnd"/>
      <w:r w:rsidR="006E2D87">
        <w:rPr>
          <w:rFonts w:cstheme="minorHAnsi"/>
          <w:lang w:val="en-GB" w:eastAsia="zh-CN"/>
        </w:rPr>
        <w:t xml:space="preserve">. </w:t>
      </w:r>
      <w:r w:rsidR="00B204A0" w:rsidRPr="008208EC">
        <w:rPr>
          <w:rFonts w:cstheme="minorHAnsi"/>
          <w:lang w:val="en-GB" w:eastAsia="zh-CN"/>
        </w:rPr>
        <w:t xml:space="preserve">Based on the discussion, </w:t>
      </w:r>
      <w:r w:rsidR="00AE72EC">
        <w:rPr>
          <w:rFonts w:cstheme="minorHAnsi"/>
          <w:lang w:val="en-GB" w:eastAsia="zh-CN"/>
        </w:rPr>
        <w:t xml:space="preserve">we </w:t>
      </w:r>
      <w:r w:rsidR="009619DF">
        <w:rPr>
          <w:rFonts w:cstheme="minorHAnsi"/>
          <w:lang w:val="en-GB" w:eastAsia="zh-CN"/>
        </w:rPr>
        <w:t>propose the following</w:t>
      </w:r>
      <w:r w:rsidR="00B204A0" w:rsidRPr="008208EC">
        <w:rPr>
          <w:rFonts w:cstheme="minorHAnsi"/>
          <w:lang w:val="en-GB" w:eastAsia="zh-CN"/>
        </w:rPr>
        <w:t>:</w:t>
      </w:r>
    </w:p>
    <w:p w14:paraId="19031BBF" w14:textId="739309AC" w:rsidR="0097065C" w:rsidRDefault="0097065C" w:rsidP="0097065C">
      <w:pPr>
        <w:rPr>
          <w:b/>
          <w:lang w:val="en-GB" w:eastAsia="zh-CN"/>
        </w:rPr>
      </w:pPr>
      <w:bookmarkStart w:id="3" w:name="_Toc423020280"/>
      <w:bookmarkEnd w:id="3"/>
      <w:r w:rsidRPr="003B77EA">
        <w:rPr>
          <w:b/>
          <w:lang w:val="en-GB" w:eastAsia="zh-CN"/>
        </w:rPr>
        <w:lastRenderedPageBreak/>
        <w:t xml:space="preserve">Proposal 1: </w:t>
      </w:r>
      <w:r>
        <w:rPr>
          <w:b/>
          <w:lang w:val="en-GB" w:eastAsia="zh-CN"/>
        </w:rPr>
        <w:t xml:space="preserve">The </w:t>
      </w:r>
      <w:r w:rsidRPr="003B77EA">
        <w:rPr>
          <w:b/>
          <w:lang w:val="en-GB" w:eastAsia="zh-CN"/>
        </w:rPr>
        <w:t xml:space="preserve">V2X </w:t>
      </w:r>
      <w:r>
        <w:rPr>
          <w:b/>
          <w:lang w:val="en-GB" w:eastAsia="zh-CN"/>
        </w:rPr>
        <w:t>S</w:t>
      </w:r>
      <w:r w:rsidRPr="003B77EA">
        <w:rPr>
          <w:b/>
          <w:lang w:val="en-GB" w:eastAsia="zh-CN"/>
        </w:rPr>
        <w:t xml:space="preserve">ervices </w:t>
      </w:r>
      <w:r>
        <w:rPr>
          <w:b/>
          <w:lang w:val="en-GB" w:eastAsia="zh-CN"/>
        </w:rPr>
        <w:t>A</w:t>
      </w:r>
      <w:r w:rsidRPr="003B77EA">
        <w:rPr>
          <w:b/>
          <w:lang w:val="en-GB" w:eastAsia="zh-CN"/>
        </w:rPr>
        <w:t>uthoriz</w:t>
      </w:r>
      <w:r>
        <w:rPr>
          <w:b/>
          <w:lang w:val="en-GB" w:eastAsia="zh-CN"/>
        </w:rPr>
        <w:t>ation</w:t>
      </w:r>
      <w:r w:rsidRPr="003B77EA">
        <w:rPr>
          <w:b/>
          <w:lang w:val="en-GB" w:eastAsia="zh-CN"/>
        </w:rPr>
        <w:t xml:space="preserve"> indication sent </w:t>
      </w:r>
      <w:r w:rsidR="00DF79A6">
        <w:rPr>
          <w:b/>
          <w:lang w:val="en-GB" w:eastAsia="zh-CN"/>
        </w:rPr>
        <w:t xml:space="preserve">over NG </w:t>
      </w:r>
      <w:r w:rsidRPr="003B77EA">
        <w:rPr>
          <w:b/>
          <w:lang w:val="en-GB" w:eastAsia="zh-CN"/>
        </w:rPr>
        <w:t>to NG-RAN node</w:t>
      </w:r>
      <w:r>
        <w:rPr>
          <w:b/>
          <w:lang w:val="en-GB" w:eastAsia="zh-CN"/>
        </w:rPr>
        <w:t xml:space="preserve"> and communicated over </w:t>
      </w:r>
      <w:proofErr w:type="spellStart"/>
      <w:r>
        <w:rPr>
          <w:b/>
          <w:lang w:val="en-GB" w:eastAsia="zh-CN"/>
        </w:rPr>
        <w:t>Xn</w:t>
      </w:r>
      <w:proofErr w:type="spellEnd"/>
      <w:r w:rsidRPr="003B77EA">
        <w:rPr>
          <w:b/>
          <w:lang w:val="en-GB" w:eastAsia="zh-CN"/>
        </w:rPr>
        <w:t xml:space="preserve"> is per PC5 RAT, </w:t>
      </w:r>
      <w:r>
        <w:rPr>
          <w:b/>
          <w:lang w:val="en-GB" w:eastAsia="zh-CN"/>
        </w:rPr>
        <w:t>thus</w:t>
      </w:r>
      <w:r w:rsidRPr="003B77EA">
        <w:rPr>
          <w:b/>
          <w:lang w:val="en-GB" w:eastAsia="zh-CN"/>
        </w:rPr>
        <w:t xml:space="preserve"> two separate “V2X services authorized” IEs should be defined</w:t>
      </w:r>
      <w:r>
        <w:rPr>
          <w:b/>
          <w:lang w:val="en-GB" w:eastAsia="zh-CN"/>
        </w:rPr>
        <w:t xml:space="preserve"> for each RAT</w:t>
      </w:r>
      <w:r w:rsidRPr="003B77EA">
        <w:rPr>
          <w:b/>
          <w:lang w:val="en-GB" w:eastAsia="zh-CN"/>
        </w:rPr>
        <w:t>.</w:t>
      </w:r>
      <w:r>
        <w:rPr>
          <w:b/>
          <w:lang w:val="en-GB" w:eastAsia="zh-CN"/>
        </w:rPr>
        <w:t xml:space="preserve"> </w:t>
      </w:r>
    </w:p>
    <w:p w14:paraId="6E846D60" w14:textId="77777777" w:rsidR="0097065C" w:rsidRPr="003B77EA" w:rsidRDefault="0097065C" w:rsidP="0097065C">
      <w:pPr>
        <w:rPr>
          <w:b/>
          <w:lang w:val="en-GB" w:eastAsia="zh-CN"/>
        </w:rPr>
      </w:pPr>
      <w:r w:rsidRPr="003B77EA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 w:rsidRPr="003B77EA">
        <w:rPr>
          <w:b/>
          <w:lang w:val="en-GB" w:eastAsia="zh-CN"/>
        </w:rPr>
        <w:t xml:space="preserve">: </w:t>
      </w:r>
      <w:r w:rsidRPr="002C55D2">
        <w:rPr>
          <w:b/>
          <w:lang w:val="en-GB" w:eastAsia="zh-CN"/>
        </w:rPr>
        <w:t xml:space="preserve">The UE </w:t>
      </w:r>
      <w:proofErr w:type="spellStart"/>
      <w:r w:rsidRPr="002C55D2">
        <w:rPr>
          <w:b/>
          <w:lang w:val="en-GB" w:eastAsia="zh-CN"/>
        </w:rPr>
        <w:t>Sidelink</w:t>
      </w:r>
      <w:proofErr w:type="spellEnd"/>
      <w:r w:rsidRPr="002C55D2">
        <w:rPr>
          <w:b/>
          <w:lang w:val="en-GB" w:eastAsia="zh-CN"/>
        </w:rPr>
        <w:t xml:space="preserve"> AMBR </w:t>
      </w:r>
      <w:r>
        <w:rPr>
          <w:b/>
          <w:lang w:val="en-GB" w:eastAsia="zh-CN"/>
        </w:rPr>
        <w:t>sent to</w:t>
      </w:r>
      <w:r w:rsidRPr="003B77EA">
        <w:rPr>
          <w:b/>
          <w:lang w:val="en-GB" w:eastAsia="zh-CN"/>
        </w:rPr>
        <w:t xml:space="preserve"> NG-RAN node</w:t>
      </w:r>
      <w:r>
        <w:rPr>
          <w:b/>
          <w:lang w:val="en-GB" w:eastAsia="zh-CN"/>
        </w:rPr>
        <w:t xml:space="preserve"> from 5GC and communicated over </w:t>
      </w:r>
      <w:proofErr w:type="spellStart"/>
      <w:r>
        <w:rPr>
          <w:b/>
          <w:lang w:val="en-GB" w:eastAsia="zh-CN"/>
        </w:rPr>
        <w:t>Xn</w:t>
      </w:r>
      <w:proofErr w:type="spellEnd"/>
      <w:r w:rsidRPr="003B77EA">
        <w:rPr>
          <w:b/>
          <w:lang w:val="en-GB" w:eastAsia="zh-CN"/>
        </w:rPr>
        <w:t xml:space="preserve"> is per PC5 RAT, </w:t>
      </w:r>
      <w:r>
        <w:rPr>
          <w:b/>
          <w:lang w:val="en-GB" w:eastAsia="zh-CN"/>
        </w:rPr>
        <w:t>thus</w:t>
      </w:r>
      <w:r w:rsidRPr="003B77EA">
        <w:rPr>
          <w:b/>
          <w:lang w:val="en-GB" w:eastAsia="zh-CN"/>
        </w:rPr>
        <w:t xml:space="preserve"> two separate </w:t>
      </w:r>
      <w:r w:rsidRPr="002C55D2">
        <w:rPr>
          <w:b/>
          <w:lang w:val="en-GB" w:eastAsia="zh-CN"/>
        </w:rPr>
        <w:t xml:space="preserve">UE </w:t>
      </w:r>
      <w:proofErr w:type="spellStart"/>
      <w:r w:rsidRPr="002C55D2">
        <w:rPr>
          <w:b/>
          <w:lang w:val="en-GB" w:eastAsia="zh-CN"/>
        </w:rPr>
        <w:t>sidelink</w:t>
      </w:r>
      <w:proofErr w:type="spellEnd"/>
      <w:r w:rsidRPr="002C55D2">
        <w:rPr>
          <w:b/>
          <w:lang w:val="en-GB" w:eastAsia="zh-CN"/>
        </w:rPr>
        <w:t xml:space="preserve"> AMBR </w:t>
      </w:r>
      <w:r w:rsidRPr="003B77EA">
        <w:rPr>
          <w:b/>
          <w:lang w:val="en-GB" w:eastAsia="zh-CN"/>
        </w:rPr>
        <w:t>IEs should be defined</w:t>
      </w:r>
      <w:r>
        <w:rPr>
          <w:b/>
          <w:lang w:val="en-GB" w:eastAsia="zh-CN"/>
        </w:rPr>
        <w:t xml:space="preserve"> for each RAT</w:t>
      </w:r>
      <w:r w:rsidRPr="003B77EA">
        <w:rPr>
          <w:b/>
          <w:lang w:val="en-GB" w:eastAsia="zh-CN"/>
        </w:rPr>
        <w:t>.</w:t>
      </w:r>
      <w:r>
        <w:rPr>
          <w:b/>
          <w:lang w:val="en-GB" w:eastAsia="zh-CN"/>
        </w:rPr>
        <w:t xml:space="preserve"> </w:t>
      </w:r>
    </w:p>
    <w:p w14:paraId="6E3B2842" w14:textId="77777777" w:rsidR="0097065C" w:rsidRPr="003B77EA" w:rsidRDefault="0097065C" w:rsidP="0097065C">
      <w:pPr>
        <w:rPr>
          <w:b/>
          <w:lang w:val="en-GB" w:eastAsia="zh-CN"/>
        </w:rPr>
      </w:pPr>
    </w:p>
    <w:p w14:paraId="2F2652B5" w14:textId="72C9222F" w:rsidR="003501BA" w:rsidRDefault="00B2195D" w:rsidP="003501BA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40699732" w14:textId="04972454" w:rsidR="0062601C" w:rsidRDefault="006E276C" w:rsidP="008208EC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3GPP TR 38.885:</w:t>
      </w:r>
      <w:r w:rsidR="0088689D" w:rsidRPr="007E4198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Study on Vehicle-to-Everything; NR; Release 16</w:t>
      </w:r>
    </w:p>
    <w:p w14:paraId="0D065172" w14:textId="46A2DCE8" w:rsidR="00FA6ADF" w:rsidRPr="00FA6ADF" w:rsidRDefault="00FA6ADF" w:rsidP="00FA6ADF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FA6ADF">
        <w:rPr>
          <w:rFonts w:asciiTheme="minorHAnsi" w:eastAsiaTheme="minorHAnsi" w:hAnsiTheme="minorHAnsi" w:cstheme="minorHAnsi"/>
          <w:szCs w:val="20"/>
          <w:lang w:val="en-US" w:eastAsia="zh-CN"/>
        </w:rPr>
        <w:t>TS 36.413 v. 15.</w:t>
      </w:r>
      <w:r w:rsidR="00D04AC4">
        <w:rPr>
          <w:rFonts w:asciiTheme="minorHAnsi" w:eastAsiaTheme="minorHAnsi" w:hAnsiTheme="minorHAnsi" w:cstheme="minorHAnsi"/>
          <w:szCs w:val="20"/>
          <w:lang w:val="en-US" w:eastAsia="zh-CN"/>
        </w:rPr>
        <w:t>6</w:t>
      </w:r>
      <w:r w:rsidRPr="00FA6ADF">
        <w:rPr>
          <w:rFonts w:asciiTheme="minorHAnsi" w:eastAsiaTheme="minorHAnsi" w:hAnsiTheme="minorHAnsi" w:cstheme="minorHAnsi"/>
          <w:szCs w:val="20"/>
          <w:lang w:val="en-US" w:eastAsia="zh-CN"/>
        </w:rPr>
        <w:t>.0.</w:t>
      </w:r>
    </w:p>
    <w:p w14:paraId="355956A6" w14:textId="7A9AC22E" w:rsidR="00FA6ADF" w:rsidRPr="00FA6ADF" w:rsidRDefault="00FA6ADF" w:rsidP="00FA6ADF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FA6ADF">
        <w:rPr>
          <w:rFonts w:asciiTheme="minorHAnsi" w:eastAsiaTheme="minorHAnsi" w:hAnsiTheme="minorHAnsi" w:cstheme="minorHAnsi"/>
          <w:szCs w:val="20"/>
          <w:lang w:val="en-US" w:eastAsia="zh-CN"/>
        </w:rPr>
        <w:t>TS 36.423 v. 15.</w:t>
      </w:r>
      <w:r w:rsidR="0082173D">
        <w:rPr>
          <w:rFonts w:asciiTheme="minorHAnsi" w:eastAsiaTheme="minorHAnsi" w:hAnsiTheme="minorHAnsi" w:cstheme="minorHAnsi"/>
          <w:szCs w:val="20"/>
          <w:lang w:val="en-US" w:eastAsia="zh-CN"/>
        </w:rPr>
        <w:t>6</w:t>
      </w:r>
      <w:r w:rsidRPr="00FA6ADF">
        <w:rPr>
          <w:rFonts w:asciiTheme="minorHAnsi" w:eastAsiaTheme="minorHAnsi" w:hAnsiTheme="minorHAnsi" w:cstheme="minorHAnsi"/>
          <w:szCs w:val="20"/>
          <w:lang w:val="en-US" w:eastAsia="zh-CN"/>
        </w:rPr>
        <w:t>.0.</w:t>
      </w:r>
    </w:p>
    <w:p w14:paraId="02FEE7F4" w14:textId="583F666C" w:rsidR="007E4198" w:rsidRDefault="00225231" w:rsidP="008208EC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R3-19</w:t>
      </w:r>
      <w:r w:rsidR="00BE240A">
        <w:rPr>
          <w:rFonts w:asciiTheme="minorHAnsi" w:eastAsiaTheme="minorHAnsi" w:hAnsiTheme="minorHAnsi" w:cstheme="minorHAnsi"/>
          <w:szCs w:val="20"/>
          <w:lang w:val="en-US" w:eastAsia="zh-CN"/>
        </w:rPr>
        <w:t>4175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</w:t>
      </w:r>
      <w:r w:rsidR="0082173D">
        <w:rPr>
          <w:rFonts w:asciiTheme="minorHAnsi" w:eastAsiaTheme="minorHAnsi" w:hAnsiTheme="minorHAnsi" w:cstheme="minorHAnsi"/>
          <w:szCs w:val="20"/>
          <w:lang w:val="en-US" w:eastAsia="zh-CN"/>
        </w:rPr>
        <w:t>introduction of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V2X </w:t>
      </w:r>
      <w:r w:rsidR="0082173D">
        <w:rPr>
          <w:rFonts w:asciiTheme="minorHAnsi" w:eastAsiaTheme="minorHAnsi" w:hAnsiTheme="minorHAnsi" w:cstheme="minorHAnsi"/>
          <w:szCs w:val="20"/>
          <w:lang w:val="en-US" w:eastAsia="zh-CN"/>
        </w:rPr>
        <w:t>Service</w:t>
      </w:r>
      <w:r w:rsidR="00A75521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s Authorized </w:t>
      </w:r>
      <w:r w:rsidR="00F73707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and </w:t>
      </w:r>
      <w:r w:rsidR="00F73707">
        <w:rPr>
          <w:rFonts w:cstheme="minorHAnsi"/>
          <w:szCs w:val="20"/>
          <w:lang w:val="en-US" w:eastAsia="zh-CN"/>
        </w:rPr>
        <w:t>UE SL AMBR</w:t>
      </w:r>
      <w:r w:rsidR="00F73707" w:rsidRPr="00A75521">
        <w:rPr>
          <w:rFonts w:cstheme="minorHAnsi"/>
          <w:szCs w:val="20"/>
          <w:lang w:val="en-US" w:eastAsia="zh-CN"/>
        </w:rPr>
        <w:t xml:space="preserve"> </w:t>
      </w:r>
      <w:r w:rsidR="0082173D">
        <w:rPr>
          <w:rFonts w:asciiTheme="minorHAnsi" w:eastAsiaTheme="minorHAnsi" w:hAnsiTheme="minorHAnsi" w:cstheme="minorHAnsi"/>
          <w:szCs w:val="20"/>
          <w:lang w:val="en-US" w:eastAsia="zh-CN"/>
        </w:rPr>
        <w:t>in</w:t>
      </w:r>
      <w:r w:rsidR="0094114D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</w:t>
      </w:r>
      <w:r w:rsidR="00F73707">
        <w:rPr>
          <w:rFonts w:asciiTheme="minorHAnsi" w:eastAsiaTheme="minorHAnsi" w:hAnsiTheme="minorHAnsi" w:cstheme="minorHAnsi"/>
          <w:szCs w:val="20"/>
          <w:lang w:val="en-US" w:eastAsia="zh-CN"/>
        </w:rPr>
        <w:t>NG</w:t>
      </w:r>
      <w:r w:rsidR="00A75521">
        <w:rPr>
          <w:rFonts w:asciiTheme="minorHAnsi" w:eastAsiaTheme="minorHAnsi" w:hAnsiTheme="minorHAnsi" w:cstheme="minorHAnsi"/>
          <w:szCs w:val="20"/>
          <w:lang w:val="en-US" w:eastAsia="zh-CN"/>
        </w:rPr>
        <w:t>AP</w:t>
      </w:r>
      <w:r w:rsidR="0094114D">
        <w:rPr>
          <w:rFonts w:asciiTheme="minorHAnsi" w:eastAsiaTheme="minorHAnsi" w:hAnsiTheme="minorHAnsi" w:cstheme="minorHAnsi"/>
          <w:szCs w:val="20"/>
          <w:lang w:val="en-US" w:eastAsia="zh-CN"/>
        </w:rPr>
        <w:t>, Ericsson, RAN3#105</w:t>
      </w:r>
    </w:p>
    <w:p w14:paraId="33E3AA4B" w14:textId="74E4B2A2" w:rsidR="00F73707" w:rsidRPr="00F73707" w:rsidRDefault="00F73707" w:rsidP="00F73707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R3-19</w:t>
      </w:r>
      <w:r w:rsidR="00BE240A">
        <w:rPr>
          <w:rFonts w:asciiTheme="minorHAnsi" w:eastAsiaTheme="minorHAnsi" w:hAnsiTheme="minorHAnsi" w:cstheme="minorHAnsi"/>
          <w:szCs w:val="20"/>
          <w:lang w:val="en-US" w:eastAsia="zh-CN"/>
        </w:rPr>
        <w:t>4176</w:t>
      </w:r>
      <w:bookmarkStart w:id="4" w:name="_GoBack"/>
      <w:bookmarkEnd w:id="4"/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introduction of V2X Services Authorized and </w:t>
      </w:r>
      <w:r>
        <w:rPr>
          <w:rFonts w:cstheme="minorHAnsi"/>
          <w:szCs w:val="20"/>
          <w:lang w:val="en-US" w:eastAsia="zh-CN"/>
        </w:rPr>
        <w:t>UE SL AMBR</w:t>
      </w:r>
      <w:r w:rsidRPr="00A75521">
        <w:rPr>
          <w:rFonts w:cstheme="minorHAnsi"/>
          <w:szCs w:val="20"/>
          <w:lang w:val="en-US" w:eastAsia="zh-CN"/>
        </w:rPr>
        <w:t xml:space="preserve"> 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in </w:t>
      </w:r>
      <w:proofErr w:type="spellStart"/>
      <w:r>
        <w:rPr>
          <w:rFonts w:asciiTheme="minorHAnsi" w:eastAsiaTheme="minorHAnsi" w:hAnsiTheme="minorHAnsi" w:cstheme="minorHAnsi"/>
          <w:szCs w:val="20"/>
          <w:lang w:val="en-US" w:eastAsia="zh-CN"/>
        </w:rPr>
        <w:t>XnAP</w:t>
      </w:r>
      <w:proofErr w:type="spellEnd"/>
      <w:r>
        <w:rPr>
          <w:rFonts w:asciiTheme="minorHAnsi" w:eastAsiaTheme="minorHAnsi" w:hAnsiTheme="minorHAnsi" w:cstheme="minorHAnsi"/>
          <w:szCs w:val="20"/>
          <w:lang w:val="en-US" w:eastAsia="zh-CN"/>
        </w:rPr>
        <w:t>, Ericsson, RAN3#105</w:t>
      </w:r>
    </w:p>
    <w:p w14:paraId="1975E2FE" w14:textId="77777777" w:rsidR="00E66977" w:rsidRPr="00225231" w:rsidRDefault="00E66977">
      <w:pPr>
        <w:rPr>
          <w:lang w:val="en-GB"/>
        </w:rPr>
      </w:pPr>
    </w:p>
    <w:sectPr w:rsidR="00E66977" w:rsidRPr="002252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E512F24"/>
    <w:multiLevelType w:val="hybridMultilevel"/>
    <w:tmpl w:val="54D850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74756E38"/>
    <w:multiLevelType w:val="hybridMultilevel"/>
    <w:tmpl w:val="5BFAEEF4"/>
    <w:lvl w:ilvl="0" w:tplc="041D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AC632A"/>
    <w:multiLevelType w:val="hybridMultilevel"/>
    <w:tmpl w:val="33F0F3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ABA"/>
    <w:rsid w:val="00000304"/>
    <w:rsid w:val="00005BBA"/>
    <w:rsid w:val="000152AC"/>
    <w:rsid w:val="000177B5"/>
    <w:rsid w:val="00026125"/>
    <w:rsid w:val="00031915"/>
    <w:rsid w:val="0003205D"/>
    <w:rsid w:val="00054FA4"/>
    <w:rsid w:val="00067C16"/>
    <w:rsid w:val="00085CFF"/>
    <w:rsid w:val="000925B7"/>
    <w:rsid w:val="000A3F30"/>
    <w:rsid w:val="000D3ED6"/>
    <w:rsid w:val="000E030E"/>
    <w:rsid w:val="000F2908"/>
    <w:rsid w:val="000F6B67"/>
    <w:rsid w:val="00122233"/>
    <w:rsid w:val="00133A1A"/>
    <w:rsid w:val="001472FC"/>
    <w:rsid w:val="00161437"/>
    <w:rsid w:val="00162AA5"/>
    <w:rsid w:val="00163008"/>
    <w:rsid w:val="00165CBE"/>
    <w:rsid w:val="00186FEB"/>
    <w:rsid w:val="00190458"/>
    <w:rsid w:val="001B36C6"/>
    <w:rsid w:val="001B628A"/>
    <w:rsid w:val="001C5123"/>
    <w:rsid w:val="001E6047"/>
    <w:rsid w:val="00225231"/>
    <w:rsid w:val="0027699E"/>
    <w:rsid w:val="002A3EB3"/>
    <w:rsid w:val="002A484F"/>
    <w:rsid w:val="002A7D1D"/>
    <w:rsid w:val="002B3A64"/>
    <w:rsid w:val="002B767A"/>
    <w:rsid w:val="002C2788"/>
    <w:rsid w:val="002C55D2"/>
    <w:rsid w:val="002C57CE"/>
    <w:rsid w:val="002C7461"/>
    <w:rsid w:val="002D1F27"/>
    <w:rsid w:val="002D7FC8"/>
    <w:rsid w:val="00304DFC"/>
    <w:rsid w:val="00310391"/>
    <w:rsid w:val="00313D77"/>
    <w:rsid w:val="003309E5"/>
    <w:rsid w:val="00331780"/>
    <w:rsid w:val="0033281D"/>
    <w:rsid w:val="0034487C"/>
    <w:rsid w:val="003501BA"/>
    <w:rsid w:val="00356D50"/>
    <w:rsid w:val="00376221"/>
    <w:rsid w:val="00397E9C"/>
    <w:rsid w:val="003A17CE"/>
    <w:rsid w:val="003A20AB"/>
    <w:rsid w:val="003A26CA"/>
    <w:rsid w:val="003B2509"/>
    <w:rsid w:val="003B389A"/>
    <w:rsid w:val="003B77EA"/>
    <w:rsid w:val="003C05BA"/>
    <w:rsid w:val="003C538C"/>
    <w:rsid w:val="003D6F15"/>
    <w:rsid w:val="003F0D5A"/>
    <w:rsid w:val="00402707"/>
    <w:rsid w:val="004250F2"/>
    <w:rsid w:val="0044301B"/>
    <w:rsid w:val="00451C0F"/>
    <w:rsid w:val="00473CB6"/>
    <w:rsid w:val="0047406A"/>
    <w:rsid w:val="00474395"/>
    <w:rsid w:val="0047734D"/>
    <w:rsid w:val="004807B5"/>
    <w:rsid w:val="004816E7"/>
    <w:rsid w:val="00486EA3"/>
    <w:rsid w:val="00492B2D"/>
    <w:rsid w:val="00492FED"/>
    <w:rsid w:val="004A7E73"/>
    <w:rsid w:val="004B27B6"/>
    <w:rsid w:val="004C1939"/>
    <w:rsid w:val="004D4985"/>
    <w:rsid w:val="004D5BCF"/>
    <w:rsid w:val="004E76E6"/>
    <w:rsid w:val="004F37F4"/>
    <w:rsid w:val="004F4EF3"/>
    <w:rsid w:val="004F6251"/>
    <w:rsid w:val="004F65D5"/>
    <w:rsid w:val="004F66C7"/>
    <w:rsid w:val="00536D67"/>
    <w:rsid w:val="005805CD"/>
    <w:rsid w:val="005C2A87"/>
    <w:rsid w:val="005D64A5"/>
    <w:rsid w:val="005E6331"/>
    <w:rsid w:val="005F146E"/>
    <w:rsid w:val="005F21D3"/>
    <w:rsid w:val="005F703E"/>
    <w:rsid w:val="00624BFD"/>
    <w:rsid w:val="0062601C"/>
    <w:rsid w:val="0063736A"/>
    <w:rsid w:val="00643F6B"/>
    <w:rsid w:val="00652675"/>
    <w:rsid w:val="00657080"/>
    <w:rsid w:val="006945FF"/>
    <w:rsid w:val="006B3035"/>
    <w:rsid w:val="006B5285"/>
    <w:rsid w:val="006B5544"/>
    <w:rsid w:val="006C5CF4"/>
    <w:rsid w:val="006D3C54"/>
    <w:rsid w:val="006E276C"/>
    <w:rsid w:val="006E2D87"/>
    <w:rsid w:val="006E635A"/>
    <w:rsid w:val="00712DFA"/>
    <w:rsid w:val="0071388D"/>
    <w:rsid w:val="0071487C"/>
    <w:rsid w:val="00716489"/>
    <w:rsid w:val="00717252"/>
    <w:rsid w:val="00721AC4"/>
    <w:rsid w:val="00721F9E"/>
    <w:rsid w:val="0073304B"/>
    <w:rsid w:val="00742E13"/>
    <w:rsid w:val="00743C64"/>
    <w:rsid w:val="0074514A"/>
    <w:rsid w:val="007457A3"/>
    <w:rsid w:val="00751002"/>
    <w:rsid w:val="00751221"/>
    <w:rsid w:val="007550AF"/>
    <w:rsid w:val="007631F0"/>
    <w:rsid w:val="00793FBD"/>
    <w:rsid w:val="007B41DA"/>
    <w:rsid w:val="007C16B2"/>
    <w:rsid w:val="007D7CC6"/>
    <w:rsid w:val="007E4198"/>
    <w:rsid w:val="007E6504"/>
    <w:rsid w:val="007F4BCE"/>
    <w:rsid w:val="00810BB0"/>
    <w:rsid w:val="00811ABD"/>
    <w:rsid w:val="008125F6"/>
    <w:rsid w:val="00816D6F"/>
    <w:rsid w:val="008208EC"/>
    <w:rsid w:val="00821053"/>
    <w:rsid w:val="0082173D"/>
    <w:rsid w:val="008234C4"/>
    <w:rsid w:val="008279DB"/>
    <w:rsid w:val="00840D75"/>
    <w:rsid w:val="00850C10"/>
    <w:rsid w:val="0085740B"/>
    <w:rsid w:val="008831B0"/>
    <w:rsid w:val="00884718"/>
    <w:rsid w:val="0088689D"/>
    <w:rsid w:val="00890E34"/>
    <w:rsid w:val="00891166"/>
    <w:rsid w:val="008E197D"/>
    <w:rsid w:val="00900CB6"/>
    <w:rsid w:val="00912ABA"/>
    <w:rsid w:val="00925517"/>
    <w:rsid w:val="00932340"/>
    <w:rsid w:val="00935970"/>
    <w:rsid w:val="0094114D"/>
    <w:rsid w:val="009619DF"/>
    <w:rsid w:val="00961A1B"/>
    <w:rsid w:val="009654A8"/>
    <w:rsid w:val="0097065C"/>
    <w:rsid w:val="00974360"/>
    <w:rsid w:val="0099692D"/>
    <w:rsid w:val="009A0D36"/>
    <w:rsid w:val="009C651E"/>
    <w:rsid w:val="009D409F"/>
    <w:rsid w:val="00A12900"/>
    <w:rsid w:val="00A14D57"/>
    <w:rsid w:val="00A15A5E"/>
    <w:rsid w:val="00A1749D"/>
    <w:rsid w:val="00A21F9F"/>
    <w:rsid w:val="00A24878"/>
    <w:rsid w:val="00A321C1"/>
    <w:rsid w:val="00A41166"/>
    <w:rsid w:val="00A50637"/>
    <w:rsid w:val="00A5529D"/>
    <w:rsid w:val="00A63C3F"/>
    <w:rsid w:val="00A75521"/>
    <w:rsid w:val="00A76768"/>
    <w:rsid w:val="00A805A9"/>
    <w:rsid w:val="00AA336D"/>
    <w:rsid w:val="00AB2FE4"/>
    <w:rsid w:val="00AB4C7D"/>
    <w:rsid w:val="00AC0E24"/>
    <w:rsid w:val="00AC1A6F"/>
    <w:rsid w:val="00AD0AED"/>
    <w:rsid w:val="00AD3980"/>
    <w:rsid w:val="00AD6C9E"/>
    <w:rsid w:val="00AD739A"/>
    <w:rsid w:val="00AD7FF2"/>
    <w:rsid w:val="00AE72EC"/>
    <w:rsid w:val="00B02EE8"/>
    <w:rsid w:val="00B078C0"/>
    <w:rsid w:val="00B17CB6"/>
    <w:rsid w:val="00B204A0"/>
    <w:rsid w:val="00B2195D"/>
    <w:rsid w:val="00B30BFD"/>
    <w:rsid w:val="00B37D49"/>
    <w:rsid w:val="00B47CA6"/>
    <w:rsid w:val="00B50AE3"/>
    <w:rsid w:val="00B6073B"/>
    <w:rsid w:val="00B63938"/>
    <w:rsid w:val="00B64DCC"/>
    <w:rsid w:val="00B70AEA"/>
    <w:rsid w:val="00B72604"/>
    <w:rsid w:val="00B9416D"/>
    <w:rsid w:val="00BA7B48"/>
    <w:rsid w:val="00BC291A"/>
    <w:rsid w:val="00BD4A2B"/>
    <w:rsid w:val="00BD6D5F"/>
    <w:rsid w:val="00BE240A"/>
    <w:rsid w:val="00BE3824"/>
    <w:rsid w:val="00BE4024"/>
    <w:rsid w:val="00C01B03"/>
    <w:rsid w:val="00C1005C"/>
    <w:rsid w:val="00C37A3D"/>
    <w:rsid w:val="00C4089E"/>
    <w:rsid w:val="00C43ABA"/>
    <w:rsid w:val="00C43B3D"/>
    <w:rsid w:val="00C56935"/>
    <w:rsid w:val="00C62C24"/>
    <w:rsid w:val="00C65E9D"/>
    <w:rsid w:val="00C7161D"/>
    <w:rsid w:val="00C87A98"/>
    <w:rsid w:val="00C95BE5"/>
    <w:rsid w:val="00CA2ECA"/>
    <w:rsid w:val="00CB3302"/>
    <w:rsid w:val="00CC1953"/>
    <w:rsid w:val="00CC74CC"/>
    <w:rsid w:val="00CD67A8"/>
    <w:rsid w:val="00D00A6C"/>
    <w:rsid w:val="00D01309"/>
    <w:rsid w:val="00D02C9B"/>
    <w:rsid w:val="00D04AC4"/>
    <w:rsid w:val="00D22844"/>
    <w:rsid w:val="00D564A3"/>
    <w:rsid w:val="00D72642"/>
    <w:rsid w:val="00DA4865"/>
    <w:rsid w:val="00DA5317"/>
    <w:rsid w:val="00DB23B2"/>
    <w:rsid w:val="00DC79CF"/>
    <w:rsid w:val="00DD5199"/>
    <w:rsid w:val="00DE34D9"/>
    <w:rsid w:val="00DE3D40"/>
    <w:rsid w:val="00DE4C42"/>
    <w:rsid w:val="00DE542A"/>
    <w:rsid w:val="00DE5D4C"/>
    <w:rsid w:val="00DF305C"/>
    <w:rsid w:val="00DF6C18"/>
    <w:rsid w:val="00DF79A6"/>
    <w:rsid w:val="00E24B9C"/>
    <w:rsid w:val="00E3451F"/>
    <w:rsid w:val="00E36345"/>
    <w:rsid w:val="00E43359"/>
    <w:rsid w:val="00E442BC"/>
    <w:rsid w:val="00E66977"/>
    <w:rsid w:val="00E82C54"/>
    <w:rsid w:val="00E83B0B"/>
    <w:rsid w:val="00EA1634"/>
    <w:rsid w:val="00EA5621"/>
    <w:rsid w:val="00EF15FF"/>
    <w:rsid w:val="00EF2E96"/>
    <w:rsid w:val="00F17216"/>
    <w:rsid w:val="00F439CC"/>
    <w:rsid w:val="00F43F1C"/>
    <w:rsid w:val="00F47CEE"/>
    <w:rsid w:val="00F53809"/>
    <w:rsid w:val="00F56996"/>
    <w:rsid w:val="00F56C19"/>
    <w:rsid w:val="00F64DDE"/>
    <w:rsid w:val="00F6757C"/>
    <w:rsid w:val="00F73707"/>
    <w:rsid w:val="00F744C4"/>
    <w:rsid w:val="00F75A59"/>
    <w:rsid w:val="00F904AF"/>
    <w:rsid w:val="00FA06F2"/>
    <w:rsid w:val="00FA4DA3"/>
    <w:rsid w:val="00FA6ADF"/>
    <w:rsid w:val="00FC3755"/>
    <w:rsid w:val="00FC7E25"/>
    <w:rsid w:val="00FD183F"/>
    <w:rsid w:val="00FE2D1C"/>
    <w:rsid w:val="00FE381B"/>
    <w:rsid w:val="00FE51C3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84BF"/>
  <w15:chartTrackingRefBased/>
  <w15:docId w15:val="{97E44DDE-6607-472A-A0BD-B3956A932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next w:val="Normal"/>
    <w:link w:val="Heading1Char"/>
    <w:qFormat/>
    <w:rsid w:val="00C65E9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C65E9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8">
    <w:name w:val="heading 8"/>
    <w:basedOn w:val="Heading1"/>
    <w:next w:val="Normal"/>
    <w:link w:val="Heading8Char"/>
    <w:qFormat/>
    <w:rsid w:val="00C65E9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65E9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65E9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C65E9D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65E9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65E9D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65E9D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65E9D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C65E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C65E9D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C65E9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204A0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B64D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64DCC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rsid w:val="00B64D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IvDbodytextChar">
    <w:name w:val="IvD bodytext Char"/>
    <w:basedOn w:val="BodyTextChar"/>
    <w:link w:val="IvDbodytext"/>
    <w:rsid w:val="00B64DCC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64DC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4DCC"/>
  </w:style>
  <w:style w:type="paragraph" w:styleId="BalloonText">
    <w:name w:val="Balloon Text"/>
    <w:basedOn w:val="Normal"/>
    <w:link w:val="BalloonTextChar"/>
    <w:uiPriority w:val="99"/>
    <w:semiHidden/>
    <w:unhideWhenUsed/>
    <w:rsid w:val="00356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D50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64DD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4D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4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D409F"/>
    <w:rPr>
      <w:rFonts w:eastAsiaTheme="minorEastAsia"/>
      <w:color w:val="5A5A5A" w:themeColor="text1" w:themeTint="A5"/>
      <w:spacing w:val="15"/>
    </w:rPr>
  </w:style>
  <w:style w:type="paragraph" w:customStyle="1" w:styleId="TAH">
    <w:name w:val="TAH"/>
    <w:basedOn w:val="Normal"/>
    <w:link w:val="TAHChar"/>
    <w:rsid w:val="00BD4A2B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BD4A2B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D4A2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BD4A2B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BD4A2B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FAED63-90F2-426B-92AA-987681B113F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4DADA55-8D27-4DFB-A4AA-7986CC98B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D937F3-16B8-4000-BE99-5B90ADE6D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829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285</cp:revision>
  <dcterms:created xsi:type="dcterms:W3CDTF">2019-01-30T11:56:00Z</dcterms:created>
  <dcterms:modified xsi:type="dcterms:W3CDTF">2019-08-16T11:53:00Z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